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79128">
      <w:pPr>
        <w:tabs>
          <w:tab w:val="center" w:pos="4595"/>
          <w:tab w:val="right" w:pos="9070"/>
        </w:tabs>
        <w:spacing w:before="60" w:after="60" w:line="288" w:lineRule="auto"/>
        <w:jc w:val="left"/>
        <w:rPr>
          <w:rFonts w:hint="default" w:ascii="宋体" w:hAnsi="宋体"/>
          <w:b/>
          <w:bCs/>
          <w:sz w:val="28"/>
          <w:szCs w:val="28"/>
          <w:lang w:val="en-US" w:eastAsia="zh-CN"/>
        </w:rPr>
      </w:pPr>
      <w:r>
        <w:rPr>
          <w:rFonts w:hint="default" w:ascii="宋体" w:hAnsi="宋体"/>
          <w:b/>
          <w:bCs/>
          <w:sz w:val="28"/>
          <w:szCs w:val="28"/>
          <w:lang w:val="en-US" w:eastAsia="zh-CN"/>
        </w:rPr>
        <w:tab/>
      </w:r>
      <w:r>
        <w:rPr>
          <w:rFonts w:hint="eastAsia" w:ascii="宋体" w:hAnsi="宋体"/>
          <w:b/>
          <w:bCs/>
          <w:sz w:val="28"/>
          <w:szCs w:val="28"/>
          <w:lang w:val="en-US" w:eastAsia="zh-CN"/>
        </w:rPr>
        <w:t>铁蛋白标准操作规程</w:t>
      </w:r>
      <w:r>
        <w:rPr>
          <w:rFonts w:hint="default" w:ascii="宋体" w:hAnsi="宋体"/>
          <w:b/>
          <w:bCs/>
          <w:sz w:val="28"/>
          <w:szCs w:val="28"/>
          <w:lang w:val="en-US" w:eastAsia="zh-CN"/>
        </w:rPr>
        <w:tab/>
      </w:r>
    </w:p>
    <w:p w14:paraId="49487B54">
      <w:pPr>
        <w:tabs>
          <w:tab w:val="right" w:pos="8306"/>
        </w:tabs>
        <w:autoSpaceDE w:val="0"/>
        <w:autoSpaceDN w:val="0"/>
        <w:adjustRightInd w:val="0"/>
        <w:spacing w:after="125" w:line="360" w:lineRule="auto"/>
        <w:jc w:val="left"/>
        <w:rPr>
          <w:rFonts w:hint="eastAsia" w:ascii="宋体" w:hAnsi="宋体" w:cs="黑体"/>
          <w:b/>
          <w:bCs/>
          <w:color w:val="000000"/>
          <w:sz w:val="21"/>
          <w:szCs w:val="21"/>
        </w:rPr>
      </w:pPr>
      <w:r>
        <w:rPr>
          <w:rFonts w:ascii="宋体" w:hAnsi="宋体" w:cs="黑体"/>
          <w:b/>
          <w:bCs/>
          <w:color w:val="000000"/>
          <w:sz w:val="21"/>
          <w:szCs w:val="21"/>
        </w:rPr>
        <w:t xml:space="preserve">1 </w:t>
      </w:r>
      <w:r>
        <w:rPr>
          <w:rFonts w:hint="eastAsia" w:ascii="宋体" w:hAnsi="宋体" w:cs="黑体"/>
          <w:b/>
          <w:bCs/>
          <w:color w:val="000000"/>
          <w:sz w:val="21"/>
          <w:szCs w:val="21"/>
        </w:rPr>
        <w:t>承担部门</w:t>
      </w:r>
      <w:r>
        <w:rPr>
          <w:rFonts w:ascii="宋体" w:hAnsi="宋体" w:cs="黑体"/>
          <w:b/>
          <w:bCs/>
          <w:color w:val="000000"/>
          <w:sz w:val="21"/>
          <w:szCs w:val="21"/>
        </w:rPr>
        <w:tab/>
      </w:r>
    </w:p>
    <w:p w14:paraId="1A2A40EE">
      <w:pPr>
        <w:autoSpaceDE w:val="0"/>
        <w:autoSpaceDN w:val="0"/>
        <w:adjustRightInd w:val="0"/>
        <w:spacing w:after="125" w:line="360" w:lineRule="auto"/>
        <w:ind w:firstLine="420" w:firstLineChars="0"/>
        <w:jc w:val="left"/>
        <w:rPr>
          <w:rFonts w:hint="eastAsia" w:ascii="宋体" w:hAnsi="宋体" w:cs="宋体"/>
          <w:color w:val="000000"/>
          <w:szCs w:val="21"/>
        </w:rPr>
      </w:pPr>
      <w:r>
        <w:rPr>
          <w:rFonts w:hint="eastAsia" w:ascii="宋体" w:hAnsi="宋体" w:cs="宋体"/>
          <w:color w:val="000000"/>
          <w:szCs w:val="21"/>
          <w:lang w:val="en-US" w:eastAsia="zh-CN"/>
        </w:rPr>
        <w:t>安亭</w:t>
      </w:r>
      <w:r>
        <w:rPr>
          <w:rFonts w:hint="eastAsia" w:ascii="宋体" w:hAnsi="宋体" w:cs="宋体"/>
          <w:color w:val="000000"/>
          <w:szCs w:val="21"/>
        </w:rPr>
        <w:t>医院</w:t>
      </w:r>
      <w:r>
        <w:rPr>
          <w:rFonts w:hint="eastAsia" w:ascii="宋体" w:hAnsi="宋体" w:cs="宋体"/>
          <w:color w:val="000000"/>
          <w:szCs w:val="21"/>
          <w:lang w:val="en-US" w:eastAsia="zh-CN"/>
        </w:rPr>
        <w:t>检验</w:t>
      </w:r>
      <w:r>
        <w:rPr>
          <w:rFonts w:hint="eastAsia" w:ascii="宋体" w:hAnsi="宋体" w:cs="宋体"/>
          <w:color w:val="000000"/>
          <w:szCs w:val="21"/>
        </w:rPr>
        <w:t>科</w:t>
      </w:r>
      <w:r>
        <w:rPr>
          <w:rFonts w:hint="eastAsia" w:ascii="宋体" w:hAnsi="宋体" w:cs="宋体"/>
          <w:color w:val="000000"/>
          <w:szCs w:val="21"/>
          <w:lang w:val="en-US" w:eastAsia="zh-CN"/>
        </w:rPr>
        <w:t>生化免疫</w:t>
      </w:r>
      <w:r>
        <w:rPr>
          <w:rFonts w:hint="eastAsia" w:ascii="宋体" w:hAnsi="宋体" w:cs="宋体"/>
          <w:color w:val="000000"/>
          <w:szCs w:val="21"/>
        </w:rPr>
        <w:t>组。</w:t>
      </w:r>
    </w:p>
    <w:p w14:paraId="0E41FA1E">
      <w:pPr>
        <w:tabs>
          <w:tab w:val="left" w:pos="2955"/>
        </w:tabs>
        <w:autoSpaceDE w:val="0"/>
        <w:autoSpaceDN w:val="0"/>
        <w:adjustRightInd w:val="0"/>
        <w:spacing w:after="125" w:line="360" w:lineRule="auto"/>
        <w:jc w:val="left"/>
        <w:rPr>
          <w:rFonts w:hint="eastAsia" w:ascii="宋体" w:hAnsi="宋体" w:eastAsia="宋体" w:cs="黑体"/>
          <w:b/>
          <w:bCs/>
          <w:color w:val="000000"/>
          <w:szCs w:val="21"/>
          <w:lang w:eastAsia="zh-CN"/>
        </w:rPr>
      </w:pPr>
      <w:r>
        <w:rPr>
          <w:rFonts w:ascii="宋体" w:hAnsi="宋体" w:cs="黑体"/>
          <w:b/>
          <w:bCs/>
          <w:color w:val="000000"/>
          <w:szCs w:val="21"/>
        </w:rPr>
        <w:t xml:space="preserve">2 </w:t>
      </w:r>
      <w:r>
        <w:rPr>
          <w:rFonts w:hint="eastAsia" w:ascii="宋体" w:hAnsi="宋体" w:cs="黑体"/>
          <w:b/>
          <w:bCs/>
          <w:color w:val="000000"/>
          <w:szCs w:val="21"/>
        </w:rPr>
        <w:t>检验目的</w:t>
      </w:r>
      <w:r>
        <w:rPr>
          <w:rFonts w:hint="eastAsia" w:ascii="宋体" w:hAnsi="宋体" w:cs="黑体"/>
          <w:b/>
          <w:bCs/>
          <w:color w:val="000000"/>
          <w:szCs w:val="21"/>
          <w:lang w:eastAsia="zh-CN"/>
        </w:rPr>
        <w:tab/>
      </w:r>
    </w:p>
    <w:p w14:paraId="0EF45B66">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规范</w:t>
      </w:r>
      <w:r>
        <w:rPr>
          <w:rFonts w:hint="eastAsia" w:ascii="宋体" w:hAnsi="宋体" w:eastAsia="宋体" w:cs="宋体"/>
          <w:bCs/>
          <w:sz w:val="21"/>
          <w:szCs w:val="21"/>
          <w:lang w:val="en-US" w:eastAsia="zh-CN"/>
        </w:rPr>
        <w:t>铁蛋白</w:t>
      </w:r>
      <w:r>
        <w:rPr>
          <w:rFonts w:hint="eastAsia" w:ascii="宋体" w:hAnsi="宋体" w:eastAsia="宋体" w:cs="宋体"/>
          <w:sz w:val="21"/>
          <w:szCs w:val="21"/>
        </w:rPr>
        <w:t>的检测实验，确保检测结果的准确性和重复性。</w:t>
      </w:r>
    </w:p>
    <w:p w14:paraId="6D648EA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3 </w:t>
      </w:r>
      <w:r>
        <w:rPr>
          <w:rFonts w:hint="eastAsia" w:ascii="宋体" w:hAnsi="宋体" w:cs="黑体"/>
          <w:b/>
          <w:bCs/>
          <w:color w:val="000000"/>
          <w:szCs w:val="21"/>
        </w:rPr>
        <w:t>原理和方法</w:t>
      </w:r>
    </w:p>
    <w:p w14:paraId="4436A300">
      <w:pPr>
        <w:keepNext w:val="0"/>
        <w:keepLines w:val="0"/>
        <w:pageBreakBefore w:val="0"/>
        <w:kinsoku/>
        <w:wordWrap/>
        <w:overflowPunct/>
        <w:topLinePunct w:val="0"/>
        <w:autoSpaceDE w:val="0"/>
        <w:autoSpaceDN w:val="0"/>
        <w:bidi w:val="0"/>
        <w:adjustRightInd w:val="0"/>
        <w:spacing w:line="360" w:lineRule="auto"/>
        <w:ind w:firstLine="420" w:firstLineChars="0"/>
        <w:jc w:val="left"/>
        <w:textAlignment w:val="auto"/>
        <w:rPr>
          <w:rFonts w:hint="eastAsia" w:ascii="宋体" w:hAnsi="宋体" w:cs="宋体"/>
          <w:color w:val="000000"/>
          <w:szCs w:val="21"/>
        </w:rPr>
      </w:pPr>
      <w:r>
        <w:rPr>
          <w:rFonts w:hint="eastAsia" w:ascii="宋体" w:hAnsi="宋体" w:eastAsia="宋体" w:cs="宋体"/>
          <w:color w:val="000000"/>
          <w:szCs w:val="21"/>
        </w:rPr>
        <w:t>化学发光微粒子免疫检测法（CMIA）：</w:t>
      </w:r>
      <w:r>
        <w:rPr>
          <w:rFonts w:hint="eastAsia" w:ascii="宋体" w:hAnsi="宋体" w:eastAsia="宋体" w:cs="宋体"/>
          <w:kern w:val="0"/>
          <w:sz w:val="21"/>
          <w:szCs w:val="21"/>
        </w:rPr>
        <w:t>蛋白项目采用两步法免疫检测，运用Chemiflex技术，即化学发光微粒子免疫检测(CMIA)技术与灵活的检测模式的结合，测定人血清和血浆中的铁蛋白。</w:t>
      </w:r>
    </w:p>
    <w:p w14:paraId="550FFA1A">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4</w:t>
      </w:r>
      <w:r>
        <w:rPr>
          <w:rFonts w:hint="eastAsia" w:ascii="宋体" w:hAnsi="宋体" w:cs="黑体"/>
          <w:b/>
          <w:bCs/>
          <w:color w:val="auto"/>
          <w:szCs w:val="21"/>
          <w:lang w:val="en-US" w:eastAsia="zh-CN"/>
        </w:rPr>
        <w:t xml:space="preserve"> </w:t>
      </w:r>
      <w:r>
        <w:rPr>
          <w:rFonts w:hint="eastAsia" w:ascii="宋体" w:hAnsi="宋体" w:cs="黑体"/>
          <w:b/>
          <w:bCs/>
          <w:color w:val="auto"/>
          <w:szCs w:val="21"/>
        </w:rPr>
        <w:t>性能特征</w:t>
      </w:r>
    </w:p>
    <w:p w14:paraId="1F3DF6CA">
      <w:pPr>
        <w:keepNext w:val="0"/>
        <w:keepLines w:val="0"/>
        <w:pageBreakBefore w:val="0"/>
        <w:kinsoku/>
        <w:wordWrap/>
        <w:overflowPunct/>
        <w:topLinePunct w:val="0"/>
        <w:bidi w:val="0"/>
        <w:snapToGrid/>
        <w:spacing w:line="360" w:lineRule="auto"/>
        <w:ind w:firstLine="420" w:firstLineChars="200"/>
        <w:textAlignment w:val="auto"/>
        <w:outlineLvl w:val="0"/>
        <w:rPr>
          <w:rFonts w:hint="eastAsia" w:ascii="宋体" w:hAnsi="宋体" w:eastAsia="宋体" w:cs="宋体"/>
          <w:color w:val="auto"/>
          <w:kern w:val="0"/>
          <w:sz w:val="21"/>
          <w:szCs w:val="21"/>
          <w:lang w:eastAsia="zh-CN"/>
        </w:rPr>
      </w:pPr>
      <w:r>
        <w:rPr>
          <w:rFonts w:ascii="宋体" w:hAnsi="宋体" w:cs="黑体"/>
          <w:color w:val="000000"/>
          <w:szCs w:val="21"/>
        </w:rPr>
        <w:t>4.1</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cs="宋体"/>
          <w:color w:val="000000"/>
          <w:szCs w:val="21"/>
        </w:rPr>
        <w:t>检测系统的性能特征：</w:t>
      </w:r>
      <w:r>
        <w:rPr>
          <w:rFonts w:hint="eastAsia" w:ascii="宋体" w:hAnsi="宋体" w:eastAsia="宋体" w:cs="宋体"/>
          <w:color w:val="auto"/>
          <w:sz w:val="21"/>
          <w:szCs w:val="21"/>
          <w:highlight w:val="none"/>
        </w:rPr>
        <w:t>精密度：</w:t>
      </w:r>
      <w:r>
        <w:rPr>
          <w:rFonts w:hint="eastAsia" w:ascii="宋体" w:hAnsi="宋体" w:eastAsia="宋体" w:cs="宋体"/>
          <w:color w:val="auto"/>
          <w:kern w:val="0"/>
          <w:sz w:val="21"/>
          <w:szCs w:val="21"/>
        </w:rPr>
        <w:t>铁蛋白项目的精密度为总CV ≤ 9%</w:t>
      </w:r>
      <w:r>
        <w:rPr>
          <w:rFonts w:hint="eastAsia" w:ascii="宋体" w:hAnsi="宋体" w:cs="宋体"/>
          <w:color w:val="auto"/>
          <w:kern w:val="0"/>
          <w:sz w:val="21"/>
          <w:szCs w:val="21"/>
          <w:lang w:eastAsia="zh-CN"/>
        </w:rPr>
        <w:t>；</w:t>
      </w:r>
      <w:r>
        <w:rPr>
          <w:rFonts w:hint="eastAsia" w:ascii="宋体" w:hAnsi="宋体" w:eastAsia="宋体" w:cs="宋体"/>
          <w:color w:val="auto"/>
          <w:kern w:val="0"/>
          <w:sz w:val="21"/>
          <w:szCs w:val="21"/>
          <w:lang w:val="en-US" w:eastAsia="zh-CN"/>
        </w:rPr>
        <w:t>回收率：平均回收率98.6%</w:t>
      </w:r>
      <w:r>
        <w:rPr>
          <w:rFonts w:hint="eastAsia" w:ascii="宋体" w:hAnsi="宋体" w:cs="宋体"/>
          <w:color w:val="auto"/>
          <w:kern w:val="0"/>
          <w:sz w:val="21"/>
          <w:szCs w:val="21"/>
          <w:lang w:val="en-US" w:eastAsia="zh-CN"/>
        </w:rPr>
        <w:t>；</w:t>
      </w:r>
      <w:r>
        <w:rPr>
          <w:rFonts w:hint="eastAsia" w:ascii="宋体" w:hAnsi="宋体" w:eastAsia="宋体" w:cs="宋体"/>
          <w:color w:val="auto"/>
          <w:sz w:val="21"/>
          <w:szCs w:val="21"/>
        </w:rPr>
        <w:t>灵敏度：</w:t>
      </w:r>
      <w:r>
        <w:rPr>
          <w:rFonts w:hint="eastAsia" w:ascii="宋体" w:hAnsi="宋体" w:eastAsia="宋体" w:cs="宋体"/>
          <w:color w:val="auto"/>
          <w:kern w:val="0"/>
          <w:sz w:val="21"/>
          <w:szCs w:val="21"/>
        </w:rPr>
        <w:t>ARCHITECT铁蛋白项目的分析灵敏度≤ 1 ng/mL</w:t>
      </w:r>
      <w:r>
        <w:rPr>
          <w:rFonts w:hint="eastAsia" w:ascii="宋体" w:hAnsi="宋体" w:cs="宋体"/>
          <w:color w:val="auto"/>
          <w:kern w:val="0"/>
          <w:sz w:val="21"/>
          <w:szCs w:val="21"/>
          <w:lang w:eastAsia="zh-CN"/>
        </w:rPr>
        <w:t>；</w:t>
      </w:r>
      <w:r>
        <w:rPr>
          <w:rFonts w:hint="eastAsia" w:ascii="宋体" w:hAnsi="宋体"/>
        </w:rPr>
        <w:t>线性范围：</w:t>
      </w:r>
      <w:r>
        <w:rPr>
          <w:rFonts w:hint="eastAsia" w:ascii="宋体" w:hAnsi="宋体" w:eastAsia="宋体" w:cs="宋体"/>
          <w:kern w:val="0"/>
          <w:sz w:val="21"/>
          <w:szCs w:val="21"/>
        </w:rPr>
        <w:t>0 - 2000 ng/mL</w:t>
      </w:r>
      <w:r>
        <w:rPr>
          <w:rFonts w:hint="eastAsia" w:ascii="宋体" w:hAnsi="宋体"/>
        </w:rPr>
        <w:t>。</w:t>
      </w:r>
    </w:p>
    <w:p w14:paraId="647DA0FD">
      <w:pPr>
        <w:numPr>
          <w:ilvl w:val="0"/>
          <w:numId w:val="0"/>
        </w:numPr>
        <w:autoSpaceDE w:val="0"/>
        <w:autoSpaceDN w:val="0"/>
        <w:adjustRightInd w:val="0"/>
        <w:spacing w:line="360" w:lineRule="auto"/>
        <w:ind w:firstLine="420" w:firstLineChars="0"/>
        <w:jc w:val="left"/>
        <w:rPr>
          <w:rFonts w:hint="eastAsia"/>
        </w:rPr>
      </w:pPr>
      <w:r>
        <w:rPr>
          <w:rFonts w:ascii="宋体" w:hAnsi="宋体" w:cs="黑体"/>
          <w:color w:val="000000"/>
          <w:szCs w:val="21"/>
        </w:rPr>
        <w:t xml:space="preserve">4.2 </w:t>
      </w:r>
      <w:r>
        <w:rPr>
          <w:rFonts w:hint="eastAsia" w:ascii="宋体" w:hAnsi="宋体" w:cs="宋体"/>
          <w:color w:val="000000"/>
          <w:szCs w:val="21"/>
        </w:rPr>
        <w:t>性能验证操作详见编号</w:t>
      </w:r>
      <w:r>
        <w:rPr>
          <w:rFonts w:ascii="宋体" w:hAnsi="宋体" w:cs="宋体"/>
          <w:color w:val="000000"/>
          <w:szCs w:val="21"/>
        </w:rPr>
        <w:t>XXX</w:t>
      </w:r>
      <w:r>
        <w:rPr>
          <w:rFonts w:hint="eastAsia" w:ascii="宋体" w:hAnsi="宋体" w:cs="宋体"/>
          <w:color w:val="000000"/>
          <w:szCs w:val="21"/>
        </w:rPr>
        <w:t>的《</w:t>
      </w:r>
      <w:r>
        <w:rPr>
          <w:rFonts w:ascii="宋体" w:hAnsi="宋体" w:cs="宋体"/>
          <w:color w:val="000000"/>
          <w:szCs w:val="21"/>
        </w:rPr>
        <w:t>XXX</w:t>
      </w:r>
      <w:r>
        <w:rPr>
          <w:rFonts w:hint="eastAsia" w:ascii="宋体" w:hAnsi="宋体" w:cs="宋体"/>
          <w:color w:val="000000"/>
          <w:szCs w:val="21"/>
        </w:rPr>
        <w:t>检测系统血清</w:t>
      </w:r>
      <w:r>
        <w:rPr>
          <w:rFonts w:hint="eastAsia" w:ascii="宋体" w:hAnsi="宋体" w:eastAsia="宋体" w:cs="宋体"/>
          <w:color w:val="auto"/>
          <w:kern w:val="0"/>
          <w:sz w:val="21"/>
          <w:szCs w:val="21"/>
        </w:rPr>
        <w:t>铁蛋白</w:t>
      </w:r>
      <w:r>
        <w:rPr>
          <w:rFonts w:hint="eastAsia" w:ascii="宋体" w:hAnsi="宋体" w:cs="宋体"/>
          <w:color w:val="000000"/>
          <w:szCs w:val="21"/>
        </w:rPr>
        <w:t>测定性能验证标准操作程序》。</w:t>
      </w:r>
    </w:p>
    <w:p w14:paraId="2B62E253">
      <w:pPr>
        <w:pStyle w:val="12"/>
        <w:rPr>
          <w:rFonts w:hint="eastAsia"/>
        </w:rPr>
      </w:pPr>
    </w:p>
    <w:p w14:paraId="2860E4B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5 </w:t>
      </w:r>
      <w:r>
        <w:rPr>
          <w:rFonts w:hint="eastAsia" w:ascii="宋体" w:hAnsi="宋体" w:cs="黑体"/>
          <w:b/>
          <w:bCs/>
          <w:color w:val="000000"/>
          <w:szCs w:val="21"/>
        </w:rPr>
        <w:t>标本类型</w:t>
      </w:r>
    </w:p>
    <w:p w14:paraId="28331946">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5.1 </w:t>
      </w:r>
      <w:r>
        <w:rPr>
          <w:rFonts w:hint="eastAsia" w:ascii="宋体" w:hAnsi="宋体" w:cs="宋体"/>
          <w:color w:val="000000"/>
          <w:szCs w:val="21"/>
        </w:rPr>
        <w:t>标本类型：血清。</w:t>
      </w:r>
    </w:p>
    <w:p w14:paraId="4B5D4F45">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5.2 </w:t>
      </w:r>
      <w:r>
        <w:rPr>
          <w:rFonts w:hint="eastAsia" w:ascii="宋体" w:hAnsi="宋体" w:cs="宋体"/>
          <w:color w:val="000000"/>
          <w:szCs w:val="21"/>
        </w:rPr>
        <w:t>静脉采血：一般取坐位，采血前至少应静坐</w:t>
      </w:r>
      <w:r>
        <w:rPr>
          <w:rFonts w:ascii="宋体" w:hAnsi="宋体" w:cs="宋体"/>
          <w:color w:val="000000"/>
          <w:szCs w:val="21"/>
        </w:rPr>
        <w:t>5min</w:t>
      </w:r>
      <w:r>
        <w:rPr>
          <w:rFonts w:hint="eastAsia" w:ascii="宋体" w:hAnsi="宋体" w:cs="宋体"/>
          <w:color w:val="000000"/>
          <w:szCs w:val="21"/>
        </w:rPr>
        <w:t>（最好＞</w:t>
      </w:r>
      <w:r>
        <w:rPr>
          <w:rFonts w:ascii="宋体" w:hAnsi="宋体" w:cs="宋体"/>
          <w:color w:val="000000"/>
          <w:szCs w:val="21"/>
        </w:rPr>
        <w:t>20min</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55B6F6C9">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5.3 </w:t>
      </w:r>
      <w:r>
        <w:rPr>
          <w:rFonts w:hint="eastAsia" w:ascii="宋体" w:hAnsi="宋体" w:cs="宋体"/>
          <w:color w:val="000000"/>
          <w:szCs w:val="21"/>
        </w:rPr>
        <w:t>标本量：常规全血</w:t>
      </w:r>
      <w:r>
        <w:rPr>
          <w:rFonts w:ascii="宋体" w:hAnsi="宋体" w:cs="宋体"/>
          <w:color w:val="000000"/>
          <w:szCs w:val="21"/>
        </w:rPr>
        <w:t>3mL</w:t>
      </w:r>
      <w:r>
        <w:rPr>
          <w:rFonts w:hint="eastAsia" w:ascii="宋体" w:hAnsi="宋体" w:cs="宋体"/>
          <w:color w:val="000000"/>
          <w:szCs w:val="21"/>
        </w:rPr>
        <w:t>～</w:t>
      </w:r>
      <w:r>
        <w:rPr>
          <w:rFonts w:ascii="宋体" w:hAnsi="宋体" w:cs="宋体"/>
          <w:color w:val="000000"/>
          <w:szCs w:val="21"/>
        </w:rPr>
        <w:t>5mL</w:t>
      </w:r>
      <w:r>
        <w:rPr>
          <w:rFonts w:hint="eastAsia" w:ascii="宋体" w:hAnsi="宋体" w:cs="宋体"/>
          <w:color w:val="000000"/>
          <w:szCs w:val="21"/>
        </w:rPr>
        <w:t>（最少</w:t>
      </w:r>
      <w:r>
        <w:rPr>
          <w:rFonts w:ascii="宋体" w:hAnsi="宋体" w:cs="宋体"/>
          <w:color w:val="000000"/>
          <w:szCs w:val="21"/>
        </w:rPr>
        <w:t>2mL</w:t>
      </w:r>
      <w:r>
        <w:rPr>
          <w:rFonts w:hint="eastAsia" w:ascii="宋体" w:hAnsi="宋体" w:cs="宋体"/>
          <w:color w:val="000000"/>
          <w:szCs w:val="21"/>
        </w:rPr>
        <w:t>）</w:t>
      </w:r>
      <w:r>
        <w:rPr>
          <w:rFonts w:ascii="宋体" w:hAnsi="宋体" w:cs="宋体"/>
          <w:color w:val="000000"/>
          <w:szCs w:val="21"/>
        </w:rPr>
        <w:t xml:space="preserve"> </w:t>
      </w:r>
      <w:r>
        <w:rPr>
          <w:rFonts w:hint="eastAsia" w:ascii="宋体" w:hAnsi="宋体" w:cs="宋体"/>
          <w:color w:val="000000"/>
          <w:szCs w:val="21"/>
        </w:rPr>
        <w:t>。</w:t>
      </w:r>
    </w:p>
    <w:p w14:paraId="67266C5C">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5.4 </w:t>
      </w:r>
      <w:r>
        <w:rPr>
          <w:rFonts w:hint="eastAsia" w:ascii="宋体" w:hAnsi="宋体" w:cs="宋体"/>
          <w:color w:val="000000"/>
          <w:szCs w:val="21"/>
        </w:rPr>
        <w:t>混匀方法：采血后试管轻柔颠倒混匀不少于</w:t>
      </w:r>
      <w:r>
        <w:rPr>
          <w:rFonts w:ascii="宋体" w:hAnsi="宋体" w:cs="宋体"/>
          <w:color w:val="000000"/>
          <w:szCs w:val="21"/>
        </w:rPr>
        <w:t>10</w:t>
      </w:r>
      <w:r>
        <w:rPr>
          <w:rFonts w:hint="eastAsia" w:ascii="宋体" w:hAnsi="宋体" w:cs="宋体"/>
          <w:color w:val="000000"/>
          <w:szCs w:val="21"/>
        </w:rPr>
        <w:t>次。</w:t>
      </w:r>
    </w:p>
    <w:p w14:paraId="4818027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5.5 </w:t>
      </w:r>
      <w:r>
        <w:rPr>
          <w:rFonts w:hint="eastAsia" w:ascii="宋体" w:hAnsi="宋体" w:cs="宋体"/>
          <w:color w:val="000000"/>
          <w:szCs w:val="21"/>
        </w:rPr>
        <w:t>标本转运：尽快送检。室温下全血标本管放置不超过</w:t>
      </w:r>
      <w:r>
        <w:rPr>
          <w:rFonts w:ascii="宋体" w:hAnsi="宋体" w:cs="宋体"/>
          <w:color w:val="000000"/>
          <w:szCs w:val="21"/>
        </w:rPr>
        <w:t>3h</w:t>
      </w:r>
      <w:r>
        <w:rPr>
          <w:rFonts w:hint="eastAsia" w:ascii="宋体" w:hAnsi="宋体" w:cs="宋体"/>
          <w:color w:val="000000"/>
          <w:szCs w:val="21"/>
        </w:rPr>
        <w:t>，</w:t>
      </w:r>
      <w:r>
        <w:rPr>
          <w:rFonts w:ascii="宋体" w:hAnsi="宋体" w:cs="宋体"/>
          <w:color w:val="000000"/>
          <w:szCs w:val="21"/>
        </w:rPr>
        <w:t>30 min</w:t>
      </w:r>
      <w:r>
        <w:rPr>
          <w:rFonts w:hint="eastAsia" w:ascii="宋体" w:hAnsi="宋体" w:cs="宋体"/>
          <w:color w:val="000000"/>
          <w:szCs w:val="21"/>
        </w:rPr>
        <w:t>～</w:t>
      </w:r>
      <w:r>
        <w:rPr>
          <w:rFonts w:ascii="宋体" w:hAnsi="宋体" w:cs="宋体"/>
          <w:color w:val="000000"/>
          <w:szCs w:val="21"/>
        </w:rPr>
        <w:t>45 min</w:t>
      </w:r>
      <w:r>
        <w:rPr>
          <w:rFonts w:hint="eastAsia" w:ascii="宋体" w:hAnsi="宋体" w:cs="宋体"/>
          <w:color w:val="000000"/>
          <w:szCs w:val="21"/>
        </w:rPr>
        <w:t>后分离血清，置洁净试管加盖，</w:t>
      </w:r>
      <w:r>
        <w:rPr>
          <w:rFonts w:ascii="宋体" w:hAnsi="宋体" w:cs="宋体"/>
          <w:color w:val="000000"/>
          <w:szCs w:val="21"/>
        </w:rPr>
        <w:t xml:space="preserve">2 </w:t>
      </w:r>
      <w:r>
        <w:rPr>
          <w:rFonts w:hint="eastAsia" w:ascii="宋体" w:hAnsi="宋体" w:cs="宋体"/>
          <w:color w:val="000000"/>
          <w:szCs w:val="21"/>
        </w:rPr>
        <w:t>℃～</w:t>
      </w:r>
      <w:r>
        <w:rPr>
          <w:rFonts w:ascii="宋体" w:hAnsi="宋体" w:cs="宋体"/>
          <w:color w:val="000000"/>
          <w:szCs w:val="21"/>
        </w:rPr>
        <w:t xml:space="preserve">8 </w:t>
      </w:r>
      <w:r>
        <w:rPr>
          <w:rFonts w:hint="eastAsia" w:ascii="宋体" w:hAnsi="宋体" w:cs="宋体"/>
          <w:color w:val="000000"/>
          <w:szCs w:val="21"/>
        </w:rPr>
        <w:t>℃保存稳定</w:t>
      </w:r>
      <w:r>
        <w:rPr>
          <w:rFonts w:ascii="宋体" w:hAnsi="宋体" w:cs="宋体"/>
          <w:color w:val="000000"/>
          <w:szCs w:val="21"/>
        </w:rPr>
        <w:t>7</w:t>
      </w:r>
      <w:r>
        <w:rPr>
          <w:rFonts w:hint="eastAsia" w:ascii="宋体" w:hAnsi="宋体" w:cs="宋体"/>
          <w:color w:val="000000"/>
          <w:szCs w:val="21"/>
        </w:rPr>
        <w:t>天，</w:t>
      </w:r>
      <w:r>
        <w:rPr>
          <w:rFonts w:ascii="宋体" w:hAnsi="宋体" w:cs="宋体"/>
          <w:color w:val="000000"/>
          <w:szCs w:val="21"/>
        </w:rPr>
        <w:t xml:space="preserve">-20 </w:t>
      </w:r>
      <w:r>
        <w:rPr>
          <w:rFonts w:hint="eastAsia" w:ascii="宋体" w:hAnsi="宋体" w:cs="宋体"/>
          <w:color w:val="000000"/>
          <w:szCs w:val="21"/>
        </w:rPr>
        <w:t>℃下可长期保存，不可反复冻融。</w:t>
      </w:r>
    </w:p>
    <w:p w14:paraId="5C23E23A">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5.6 </w:t>
      </w:r>
      <w:r>
        <w:rPr>
          <w:rFonts w:hint="eastAsia" w:ascii="宋体" w:hAnsi="宋体" w:cs="宋体"/>
          <w:color w:val="000000"/>
          <w:szCs w:val="21"/>
        </w:rPr>
        <w:t>标本离心要求：如</w:t>
      </w:r>
      <w:r>
        <w:rPr>
          <w:rFonts w:ascii="宋体" w:hAnsi="宋体" w:cs="宋体"/>
          <w:color w:val="000000"/>
          <w:szCs w:val="21"/>
        </w:rPr>
        <w:t>3000</w:t>
      </w:r>
      <w:r>
        <w:rPr>
          <w:rFonts w:hint="eastAsia" w:ascii="宋体" w:hAnsi="宋体" w:cs="宋体"/>
          <w:color w:val="000000"/>
          <w:szCs w:val="21"/>
        </w:rPr>
        <w:t>转</w:t>
      </w:r>
      <w:r>
        <w:rPr>
          <w:rFonts w:ascii="宋体" w:hAnsi="宋体" w:cs="宋体"/>
          <w:color w:val="000000"/>
          <w:szCs w:val="21"/>
        </w:rPr>
        <w:t>/</w:t>
      </w:r>
      <w:r>
        <w:rPr>
          <w:rFonts w:hint="eastAsia" w:ascii="宋体" w:hAnsi="宋体" w:cs="宋体"/>
          <w:color w:val="000000"/>
          <w:szCs w:val="21"/>
        </w:rPr>
        <w:t>分，离心</w:t>
      </w:r>
      <w:r>
        <w:rPr>
          <w:rFonts w:ascii="宋体" w:hAnsi="宋体" w:cs="宋体"/>
          <w:color w:val="000000"/>
          <w:szCs w:val="21"/>
        </w:rPr>
        <w:t>10min</w:t>
      </w:r>
      <w:r>
        <w:rPr>
          <w:rFonts w:hint="eastAsia" w:ascii="宋体" w:hAnsi="宋体" w:cs="宋体"/>
          <w:color w:val="000000"/>
          <w:szCs w:val="21"/>
        </w:rPr>
        <w:t>。</w:t>
      </w:r>
    </w:p>
    <w:p w14:paraId="67AAB817">
      <w:pPr>
        <w:numPr>
          <w:ilvl w:val="0"/>
          <w:numId w:val="1"/>
        </w:numPr>
        <w:autoSpaceDE w:val="0"/>
        <w:autoSpaceDN w:val="0"/>
        <w:adjustRightInd w:val="0"/>
        <w:spacing w:line="360" w:lineRule="auto"/>
        <w:jc w:val="left"/>
        <w:rPr>
          <w:rFonts w:hint="eastAsia" w:ascii="宋体" w:hAnsi="宋体" w:cs="宋体"/>
          <w:color w:val="000000"/>
          <w:szCs w:val="21"/>
        </w:rPr>
      </w:pPr>
      <w:r>
        <w:rPr>
          <w:rFonts w:ascii="宋体" w:hAnsi="宋体" w:cs="黑体"/>
          <w:color w:val="000000"/>
          <w:szCs w:val="21"/>
        </w:rPr>
        <w:t xml:space="preserve">5.7 </w:t>
      </w:r>
      <w:r>
        <w:rPr>
          <w:rFonts w:hint="eastAsia" w:ascii="宋体" w:hAnsi="宋体" w:cs="宋体"/>
          <w:color w:val="000000"/>
          <w:szCs w:val="21"/>
        </w:rPr>
        <w:t>拒收标准：全血标本＜</w:t>
      </w:r>
      <w:r>
        <w:rPr>
          <w:rFonts w:ascii="宋体" w:hAnsi="宋体" w:cs="宋体"/>
          <w:color w:val="000000"/>
          <w:szCs w:val="21"/>
        </w:rPr>
        <w:t>2mL</w:t>
      </w:r>
      <w:r>
        <w:rPr>
          <w:rFonts w:hint="eastAsia" w:ascii="宋体" w:hAnsi="宋体" w:cs="宋体"/>
          <w:color w:val="000000"/>
          <w:szCs w:val="21"/>
        </w:rPr>
        <w:t>或血清＜</w:t>
      </w:r>
      <w:r>
        <w:rPr>
          <w:rFonts w:ascii="宋体" w:hAnsi="宋体" w:cs="宋体"/>
          <w:color w:val="000000"/>
          <w:szCs w:val="21"/>
        </w:rPr>
        <w:t>0.2mL</w:t>
      </w:r>
      <w:r>
        <w:rPr>
          <w:rFonts w:hint="eastAsia" w:ascii="宋体" w:hAnsi="宋体" w:cs="宋体"/>
          <w:color w:val="000000"/>
          <w:szCs w:val="21"/>
        </w:rPr>
        <w:t>；标本严重溶血、浑浊或脂血；无法确认标本信息；标本试管破裂等。详见编号</w:t>
      </w:r>
      <w:r>
        <w:rPr>
          <w:rFonts w:ascii="宋体" w:hAnsi="宋体" w:cs="宋体"/>
          <w:color w:val="000000"/>
          <w:szCs w:val="21"/>
        </w:rPr>
        <w:t>XXX</w:t>
      </w:r>
      <w:r>
        <w:rPr>
          <w:rFonts w:hint="eastAsia" w:ascii="宋体" w:hAnsi="宋体" w:cs="宋体"/>
          <w:color w:val="000000"/>
          <w:szCs w:val="21"/>
        </w:rPr>
        <w:t>的《检验标本采集标准操作程序》。</w:t>
      </w:r>
    </w:p>
    <w:p w14:paraId="1B652F36">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6 </w:t>
      </w:r>
      <w:r>
        <w:rPr>
          <w:rFonts w:hint="eastAsia" w:ascii="宋体" w:hAnsi="宋体" w:cs="黑体"/>
          <w:b/>
          <w:bCs/>
          <w:color w:val="000000"/>
          <w:szCs w:val="21"/>
        </w:rPr>
        <w:t>患者准备</w:t>
      </w:r>
    </w:p>
    <w:p w14:paraId="13D0F0D4">
      <w:pPr>
        <w:autoSpaceDE w:val="0"/>
        <w:autoSpaceDN w:val="0"/>
        <w:adjustRightInd w:val="0"/>
        <w:spacing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采血前</w:t>
      </w:r>
      <w:r>
        <w:rPr>
          <w:rFonts w:ascii="宋体" w:hAnsi="宋体" w:cs="宋体"/>
          <w:color w:val="000000"/>
          <w:szCs w:val="21"/>
        </w:rPr>
        <w:t>3</w:t>
      </w:r>
      <w:r>
        <w:rPr>
          <w:rFonts w:hint="eastAsia" w:ascii="宋体" w:hAnsi="宋体" w:cs="宋体"/>
          <w:color w:val="000000"/>
          <w:szCs w:val="21"/>
        </w:rPr>
        <w:t>天内避免高脂饮食；总胆固醇单一测定可非空腹采血；体检者采血前应保持平时饮食习惯</w:t>
      </w:r>
      <w:r>
        <w:rPr>
          <w:rFonts w:ascii="宋体" w:hAnsi="宋体" w:cs="宋体"/>
          <w:color w:val="000000"/>
          <w:szCs w:val="21"/>
        </w:rPr>
        <w:t>2</w:t>
      </w:r>
      <w:r>
        <w:rPr>
          <w:rFonts w:hint="eastAsia" w:ascii="宋体" w:hAnsi="宋体" w:cs="宋体"/>
          <w:color w:val="000000"/>
          <w:szCs w:val="21"/>
        </w:rPr>
        <w:t>周，近期内体重稳定，无急性病、外伤、手术等意外情况，应每年同一季节检验，采血前</w:t>
      </w:r>
      <w:r>
        <w:rPr>
          <w:rFonts w:ascii="宋体" w:hAnsi="宋体" w:cs="宋体"/>
          <w:color w:val="000000"/>
          <w:szCs w:val="21"/>
        </w:rPr>
        <w:t>24 h</w:t>
      </w:r>
      <w:r>
        <w:rPr>
          <w:rFonts w:hint="eastAsia" w:ascii="宋体" w:hAnsi="宋体" w:cs="宋体"/>
          <w:color w:val="000000"/>
          <w:szCs w:val="21"/>
        </w:rPr>
        <w:t>内不作剧烈运动；妇女在妊娠后期总胆固醇可增高，应在产后或哺乳终止后</w:t>
      </w:r>
      <w:r>
        <w:rPr>
          <w:rFonts w:ascii="宋体" w:hAnsi="宋体" w:cs="宋体"/>
          <w:color w:val="000000"/>
          <w:szCs w:val="21"/>
        </w:rPr>
        <w:t>3</w:t>
      </w:r>
      <w:r>
        <w:rPr>
          <w:rFonts w:hint="eastAsia" w:ascii="宋体" w:hAnsi="宋体" w:cs="宋体"/>
          <w:color w:val="000000"/>
          <w:szCs w:val="21"/>
        </w:rPr>
        <w:t>个月测定。降血脂药、避孕药、噻嗪类利尿剂、β受体阻滞剂、免疫抑制剂、某些降压药、降糖药、胰岛素及其他激素药等会影响血脂，检验前应根据所用药物的特性停药数日或数周，否则应记录具体情况。</w:t>
      </w:r>
    </w:p>
    <w:p w14:paraId="51B3B0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7 </w:t>
      </w:r>
      <w:r>
        <w:rPr>
          <w:rFonts w:hint="eastAsia" w:ascii="宋体" w:hAnsi="宋体" w:cs="黑体"/>
          <w:b/>
          <w:bCs/>
          <w:color w:val="000000"/>
          <w:szCs w:val="21"/>
        </w:rPr>
        <w:t>容器和添加剂类型</w:t>
      </w:r>
    </w:p>
    <w:p w14:paraId="75760E61">
      <w:pPr>
        <w:autoSpaceDE w:val="0"/>
        <w:autoSpaceDN w:val="0"/>
        <w:adjustRightInd w:val="0"/>
        <w:spacing w:after="125" w:line="360" w:lineRule="auto"/>
        <w:ind w:firstLine="420" w:firstLineChars="200"/>
        <w:jc w:val="left"/>
        <w:rPr>
          <w:rFonts w:hint="eastAsia" w:ascii="宋体" w:hAnsi="宋体" w:cs="宋体"/>
          <w:color w:val="000000"/>
          <w:szCs w:val="21"/>
        </w:rPr>
      </w:pPr>
      <w:r>
        <w:rPr>
          <w:rFonts w:hint="eastAsia" w:ascii="宋体" w:hAnsi="宋体" w:cs="宋体"/>
          <w:color w:val="000000"/>
          <w:szCs w:val="21"/>
        </w:rPr>
        <w:t>促凝真空采血管，添加剂为</w:t>
      </w:r>
      <w:r>
        <w:rPr>
          <w:rFonts w:hint="eastAsia" w:ascii="宋体" w:hAnsi="宋体" w:eastAsia="宋体" w:cs="宋体"/>
          <w:sz w:val="21"/>
          <w:szCs w:val="21"/>
        </w:rPr>
        <w:t>肝素（钠和锂），EDTA</w:t>
      </w:r>
      <w:r>
        <w:rPr>
          <w:rFonts w:hint="eastAsia" w:ascii="宋体" w:hAnsi="宋体" w:eastAsia="宋体" w:cs="宋体"/>
          <w:sz w:val="21"/>
          <w:szCs w:val="21"/>
          <w:lang w:val="en-US" w:eastAsia="zh-CN"/>
        </w:rPr>
        <w:t>三钾</w:t>
      </w:r>
      <w:r>
        <w:rPr>
          <w:rFonts w:hint="eastAsia" w:ascii="宋体" w:hAnsi="宋体" w:cs="宋体"/>
          <w:color w:val="000000"/>
          <w:szCs w:val="21"/>
        </w:rPr>
        <w:t>。</w:t>
      </w:r>
    </w:p>
    <w:p w14:paraId="4D12A4C3">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8</w:t>
      </w:r>
      <w:r>
        <w:rPr>
          <w:rFonts w:hint="eastAsia" w:ascii="宋体" w:hAnsi="宋体" w:cs="黑体"/>
          <w:b/>
          <w:bCs/>
          <w:color w:val="000000"/>
          <w:szCs w:val="21"/>
          <w:lang w:val="en-US" w:eastAsia="zh-CN"/>
        </w:rPr>
        <w:t xml:space="preserve"> </w:t>
      </w:r>
      <w:r>
        <w:rPr>
          <w:rFonts w:hint="eastAsia" w:ascii="宋体" w:hAnsi="宋体" w:cs="黑体"/>
          <w:b/>
          <w:bCs/>
          <w:color w:val="000000"/>
          <w:szCs w:val="21"/>
        </w:rPr>
        <w:t>仪器和试剂</w:t>
      </w:r>
    </w:p>
    <w:p w14:paraId="60B75FAB">
      <w:pPr>
        <w:numPr>
          <w:ilvl w:val="0"/>
          <w:numId w:val="2"/>
        </w:numPr>
        <w:autoSpaceDE w:val="0"/>
        <w:autoSpaceDN w:val="0"/>
        <w:adjustRightInd w:val="0"/>
        <w:spacing w:line="360" w:lineRule="auto"/>
        <w:jc w:val="left"/>
        <w:rPr>
          <w:rFonts w:hint="eastAsia" w:ascii="宋体" w:hAnsi="宋体"/>
        </w:rPr>
      </w:pPr>
      <w:r>
        <w:rPr>
          <w:rFonts w:ascii="宋体" w:hAnsi="宋体" w:cs="黑体"/>
          <w:color w:val="auto"/>
          <w:szCs w:val="21"/>
        </w:rPr>
        <w:t xml:space="preserve">8.1 </w:t>
      </w:r>
      <w:r>
        <w:rPr>
          <w:rFonts w:hint="eastAsia" w:ascii="宋体" w:hAnsi="宋体" w:cs="宋体"/>
          <w:color w:val="auto"/>
          <w:szCs w:val="21"/>
        </w:rPr>
        <w:t>仪器：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，详见编号</w:t>
      </w:r>
      <w:r>
        <w:rPr>
          <w:rFonts w:ascii="宋体" w:hAnsi="宋体" w:cs="宋体"/>
          <w:color w:val="auto"/>
          <w:szCs w:val="21"/>
          <w:highlight w:val="red"/>
        </w:rPr>
        <w:t>XXX</w:t>
      </w:r>
      <w:r>
        <w:rPr>
          <w:rFonts w:hint="eastAsia" w:ascii="宋体" w:hAnsi="宋体" w:cs="宋体"/>
          <w:color w:val="auto"/>
          <w:szCs w:val="21"/>
        </w:rPr>
        <w:t>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 xml:space="preserve">》。 </w:t>
      </w:r>
    </w:p>
    <w:p w14:paraId="59064793">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 </w:t>
      </w:r>
      <w:r>
        <w:rPr>
          <w:rFonts w:hint="eastAsia" w:ascii="宋体" w:hAnsi="宋体" w:cs="宋体"/>
          <w:szCs w:val="21"/>
        </w:rPr>
        <w:t>试剂</w:t>
      </w:r>
    </w:p>
    <w:p w14:paraId="493AB7FE">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FF0000"/>
          <w:kern w:val="0"/>
          <w:sz w:val="21"/>
          <w:szCs w:val="21"/>
          <w:lang w:bidi="ar"/>
        </w:rPr>
      </w:pPr>
      <w:r>
        <w:rPr>
          <w:rFonts w:ascii="宋体" w:hAnsi="宋体" w:cs="黑体"/>
          <w:szCs w:val="21"/>
        </w:rPr>
        <w:t xml:space="preserve">8.2.1 </w:t>
      </w:r>
      <w:r>
        <w:rPr>
          <w:rFonts w:hint="eastAsia" w:ascii="宋体" w:hAnsi="宋体" w:cs="宋体"/>
          <w:szCs w:val="21"/>
        </w:rPr>
        <w:t>检测试剂</w:t>
      </w:r>
      <w:r>
        <w:rPr>
          <w:rFonts w:hint="eastAsia" w:ascii="宋体" w:hAnsi="宋体" w:cs="宋体"/>
          <w:color w:val="auto"/>
          <w:szCs w:val="21"/>
        </w:rPr>
        <w:t>：</w:t>
      </w:r>
      <w:r>
        <w:rPr>
          <w:rFonts w:hint="eastAsia" w:ascii="宋体" w:hAnsi="宋体"/>
          <w:color w:val="auto"/>
          <w:lang w:val="en-US" w:eastAsia="zh-CN"/>
        </w:rPr>
        <w:t>雅培</w:t>
      </w:r>
      <w:r>
        <w:rPr>
          <w:rFonts w:hint="eastAsia" w:ascii="宋体" w:hAnsi="宋体"/>
          <w:color w:val="auto"/>
        </w:rPr>
        <w:t>Alinity</w:t>
      </w:r>
      <w:r>
        <w:rPr>
          <w:rFonts w:hint="eastAsia" w:ascii="宋体" w:hAnsi="宋体"/>
          <w:color w:val="auto"/>
          <w:lang w:val="en-US" w:eastAsia="zh-CN"/>
        </w:rPr>
        <w:t xml:space="preserve"> </w:t>
      </w:r>
      <w:r>
        <w:rPr>
          <w:rFonts w:hint="eastAsia" w:ascii="宋体" w:hAnsi="宋体"/>
          <w:color w:val="auto"/>
        </w:rPr>
        <w:t>i全自动化学发光免疫分析仪</w:t>
      </w:r>
      <w:r>
        <w:rPr>
          <w:rFonts w:hint="eastAsia" w:ascii="宋体" w:hAnsi="宋体" w:cs="宋体"/>
          <w:color w:val="auto"/>
          <w:szCs w:val="21"/>
        </w:rPr>
        <w:t>。</w:t>
      </w:r>
      <w:r>
        <w:rPr>
          <w:rFonts w:hint="eastAsia" w:ascii="宋体" w:hAnsi="宋体" w:cs="宋体"/>
          <w:szCs w:val="21"/>
        </w:rPr>
        <w:t>无需配制，即开即用。</w:t>
      </w:r>
    </w:p>
    <w:p w14:paraId="5C74A86D">
      <w:pPr>
        <w:keepNext w:val="0"/>
        <w:keepLines w:val="0"/>
        <w:pageBreakBefore w:val="0"/>
        <w:kinsoku/>
        <w:wordWrap/>
        <w:overflowPunct/>
        <w:topLinePunct w:val="0"/>
        <w:bidi w:val="0"/>
        <w:spacing w:before="60" w:after="60" w:line="360" w:lineRule="auto"/>
        <w:ind w:firstLine="420" w:firstLineChars="0"/>
        <w:textAlignment w:val="auto"/>
        <w:rPr>
          <w:rFonts w:hint="eastAsia" w:ascii="宋体" w:hAnsi="宋体" w:eastAsia="宋体" w:cs="宋体"/>
          <w:color w:val="auto"/>
          <w:kern w:val="0"/>
          <w:sz w:val="21"/>
          <w:szCs w:val="21"/>
          <w:lang w:val="en-US" w:eastAsia="zh-CN"/>
        </w:rPr>
      </w:pPr>
      <w:r>
        <w:rPr>
          <w:rFonts w:hint="default"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.2.1</w:t>
      </w:r>
      <w:r>
        <w:rPr>
          <w:rFonts w:hint="default" w:ascii="宋体" w:hAnsi="宋体" w:cs="宋体"/>
          <w:color w:val="auto"/>
          <w:kern w:val="0"/>
          <w:sz w:val="21"/>
          <w:szCs w:val="21"/>
          <w:lang w:val="en-US" w:bidi="ar"/>
        </w:rPr>
        <w:t>.1</w:t>
      </w:r>
      <w:r>
        <w:rPr>
          <w:rFonts w:hint="eastAsia" w:ascii="宋体" w:hAnsi="宋体" w:eastAsia="宋体" w:cs="宋体"/>
          <w:color w:val="auto"/>
          <w:kern w:val="0"/>
          <w:sz w:val="21"/>
          <w:szCs w:val="21"/>
          <w:lang w:val="en-US" w:eastAsia="zh-CN" w:bidi="ar"/>
        </w:rPr>
        <w:t xml:space="preserve"> </w:t>
      </w:r>
      <w:r>
        <w:rPr>
          <w:rFonts w:hint="eastAsia" w:ascii="宋体" w:hAnsi="宋体" w:eastAsia="宋体" w:cs="宋体"/>
          <w:color w:val="auto"/>
          <w:kern w:val="0"/>
          <w:sz w:val="21"/>
          <w:szCs w:val="21"/>
        </w:rPr>
        <w:t xml:space="preserve">ARCHITECT铁蛋白测定试剂盒 </w:t>
      </w:r>
      <w:r>
        <w:rPr>
          <w:rFonts w:hint="eastAsia" w:ascii="宋体" w:hAnsi="宋体" w:eastAsia="宋体" w:cs="宋体"/>
          <w:color w:val="auto"/>
          <w:kern w:val="0"/>
          <w:sz w:val="21"/>
          <w:szCs w:val="21"/>
          <w:lang w:val="en-US" w:eastAsia="zh-CN"/>
        </w:rPr>
        <w:t>07P65</w:t>
      </w:r>
    </w:p>
    <w:p w14:paraId="74C74472">
      <w:pPr>
        <w:keepNext w:val="0"/>
        <w:keepLines w:val="0"/>
        <w:pageBreakBefore w:val="0"/>
        <w:kinsoku/>
        <w:wordWrap/>
        <w:overflowPunct/>
        <w:topLinePunct w:val="0"/>
        <w:bidi w:val="0"/>
        <w:spacing w:before="60" w:after="60" w:line="360" w:lineRule="auto"/>
        <w:ind w:firstLine="420" w:firstLineChars="200"/>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a）微粒子：</w:t>
      </w:r>
      <w:r>
        <w:rPr>
          <w:rFonts w:hint="eastAsia" w:ascii="宋体" w:hAnsi="宋体" w:eastAsia="宋体" w:cs="宋体"/>
          <w:color w:val="auto"/>
          <w:kern w:val="0"/>
          <w:sz w:val="21"/>
          <w:szCs w:val="21"/>
        </w:rPr>
        <w:t>铁蛋白抗体(小鼠，单克隆)包被的微粒子，储存于含有蛋白(小鼠和牛)稳定剂的三羟甲基氨基甲烷(TRIS)缓冲液中。最低浓度： 0.125% 固体物质。防腐剂：抗菌剂。</w:t>
      </w:r>
    </w:p>
    <w:p w14:paraId="17128B13">
      <w:pPr>
        <w:keepNext w:val="0"/>
        <w:keepLines w:val="0"/>
        <w:pageBreakBefore w:val="0"/>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kern w:val="0"/>
          <w:sz w:val="21"/>
          <w:szCs w:val="21"/>
        </w:rPr>
      </w:pPr>
      <w:r>
        <w:rPr>
          <w:rFonts w:hint="eastAsia" w:ascii="宋体" w:hAnsi="宋体" w:eastAsia="宋体" w:cs="宋体"/>
          <w:color w:val="auto"/>
          <w:sz w:val="21"/>
          <w:szCs w:val="21"/>
        </w:rPr>
        <w:t>b）结合物：</w:t>
      </w:r>
      <w:r>
        <w:rPr>
          <w:rFonts w:hint="eastAsia" w:ascii="宋体" w:hAnsi="宋体" w:eastAsia="宋体" w:cs="宋体"/>
          <w:color w:val="auto"/>
          <w:kern w:val="0"/>
          <w:sz w:val="21"/>
          <w:szCs w:val="21"/>
        </w:rPr>
        <w:t>吖啶酯标记的铁蛋白抗体(兔，多克隆)结合物，储存于含有蛋白(牛)稳定剂的2-(N-吗啡啉)乙磺酸(MES)缓冲液中。最低浓度： 75 ng/mL。防腐剂：抗菌剂。</w:t>
      </w:r>
    </w:p>
    <w:p w14:paraId="7BF6A0A5">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c</w:t>
      </w:r>
      <w:r>
        <w:rPr>
          <w:rFonts w:hint="eastAsia" w:ascii="宋体" w:hAnsi="宋体" w:eastAsia="宋体" w:cs="宋体"/>
          <w:color w:val="auto"/>
          <w:sz w:val="21"/>
          <w:szCs w:val="21"/>
        </w:rPr>
        <w:t>）其它试剂：</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sz w:val="21"/>
          <w:szCs w:val="21"/>
        </w:rPr>
        <w:t>预激发液、</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sz w:val="21"/>
          <w:szCs w:val="21"/>
        </w:rPr>
        <w:t>激发液、</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sz w:val="21"/>
          <w:szCs w:val="21"/>
        </w:rPr>
        <w:t>清洗缓冲液。</w:t>
      </w:r>
    </w:p>
    <w:p w14:paraId="75519EAB">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color w:val="auto"/>
          <w:sz w:val="21"/>
          <w:szCs w:val="21"/>
        </w:rPr>
      </w:pPr>
      <w:r>
        <w:rPr>
          <w:rFonts w:hint="default" w:ascii="宋体" w:hAnsi="宋体" w:cs="宋体"/>
          <w:color w:val="auto"/>
          <w:kern w:val="0"/>
          <w:sz w:val="21"/>
          <w:szCs w:val="21"/>
          <w:lang w:val="en-US" w:eastAsia="zh-CN" w:bidi="ar"/>
        </w:rPr>
        <w:t>8</w:t>
      </w:r>
      <w:r>
        <w:rPr>
          <w:rFonts w:hint="eastAsia" w:ascii="宋体" w:hAnsi="宋体" w:eastAsia="宋体" w:cs="宋体"/>
          <w:color w:val="auto"/>
          <w:kern w:val="0"/>
          <w:sz w:val="21"/>
          <w:szCs w:val="21"/>
          <w:lang w:bidi="ar"/>
        </w:rPr>
        <w:t>.2.</w:t>
      </w:r>
      <w:r>
        <w:rPr>
          <w:rFonts w:hint="default" w:ascii="宋体" w:hAnsi="宋体" w:cs="宋体"/>
          <w:color w:val="auto"/>
          <w:kern w:val="0"/>
          <w:sz w:val="21"/>
          <w:szCs w:val="21"/>
          <w:lang w:val="en-US" w:bidi="ar"/>
        </w:rPr>
        <w:t>1.2</w:t>
      </w:r>
      <w:r>
        <w:rPr>
          <w:rFonts w:hint="eastAsia" w:ascii="宋体" w:hAnsi="宋体" w:eastAsia="宋体" w:cs="宋体"/>
          <w:color w:val="auto"/>
          <w:sz w:val="21"/>
          <w:szCs w:val="21"/>
        </w:rPr>
        <w:t>试剂盒储存条件</w:t>
      </w:r>
    </w:p>
    <w:p w14:paraId="2814A2F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a）</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kern w:val="0"/>
          <w:sz w:val="21"/>
          <w:szCs w:val="21"/>
        </w:rPr>
        <w:t>铁蛋白</w:t>
      </w:r>
      <w:r>
        <w:rPr>
          <w:rFonts w:hint="eastAsia" w:ascii="宋体" w:hAnsi="宋体" w:eastAsia="宋体" w:cs="宋体"/>
          <w:color w:val="auto"/>
          <w:sz w:val="21"/>
          <w:szCs w:val="21"/>
        </w:rPr>
        <w:t>测定试剂盒必须在2-8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竖直向上</w:t>
      </w:r>
      <w:r>
        <w:rPr>
          <w:rFonts w:hint="eastAsia" w:ascii="宋体" w:hAnsi="宋体" w:eastAsia="宋体" w:cs="宋体"/>
          <w:color w:val="auto"/>
          <w:sz w:val="21"/>
          <w:szCs w:val="21"/>
        </w:rPr>
        <w:t>储存，</w:t>
      </w:r>
      <w:r>
        <w:rPr>
          <w:rFonts w:hint="eastAsia" w:ascii="宋体" w:hAnsi="宋体" w:eastAsia="宋体" w:cs="宋体"/>
          <w:color w:val="auto"/>
          <w:kern w:val="0"/>
          <w:sz w:val="21"/>
          <w:szCs w:val="21"/>
        </w:rPr>
        <w:t>从2-8</w:t>
      </w:r>
      <w:r>
        <w:rPr>
          <w:rFonts w:hint="eastAsia" w:ascii="宋体" w:hAnsi="宋体" w:eastAsia="宋体" w:cs="宋体"/>
          <w:color w:val="auto"/>
          <w:sz w:val="21"/>
          <w:szCs w:val="21"/>
          <w:lang w:val="en-US" w:eastAsia="zh-CN"/>
        </w:rPr>
        <w:t>℃</w:t>
      </w:r>
      <w:r>
        <w:rPr>
          <w:rFonts w:hint="eastAsia" w:ascii="宋体" w:hAnsi="宋体" w:eastAsia="宋体" w:cs="宋体"/>
          <w:color w:val="auto"/>
          <w:kern w:val="0"/>
          <w:sz w:val="21"/>
          <w:szCs w:val="21"/>
        </w:rPr>
        <w:t>环境中</w:t>
      </w:r>
      <w:r>
        <w:rPr>
          <w:rFonts w:hint="eastAsia" w:ascii="宋体" w:hAnsi="宋体" w:eastAsia="宋体" w:cs="宋体"/>
          <w:color w:val="auto"/>
          <w:sz w:val="21"/>
          <w:szCs w:val="21"/>
        </w:rPr>
        <w:t>取出后可立即使用。</w:t>
      </w:r>
      <w:r>
        <w:rPr>
          <w:rFonts w:hint="eastAsia" w:ascii="宋体" w:hAnsi="宋体" w:eastAsia="宋体" w:cs="宋体"/>
          <w:color w:val="auto"/>
          <w:kern w:val="0"/>
          <w:sz w:val="21"/>
          <w:szCs w:val="21"/>
        </w:rPr>
        <w:t>如果试剂瓶未竖直向上储存，使用前轻轻颠倒试剂瓶10次并竖直向上放置</w:t>
      </w:r>
      <w:r>
        <w:rPr>
          <w:rFonts w:hint="eastAsia" w:ascii="宋体" w:hAnsi="宋体" w:eastAsia="宋体" w:cs="宋体"/>
          <w:color w:val="auto"/>
          <w:kern w:val="0"/>
          <w:sz w:val="21"/>
          <w:szCs w:val="21"/>
          <w:lang w:val="en-US" w:eastAsia="zh-CN"/>
        </w:rPr>
        <w:t>2</w:t>
      </w:r>
      <w:r>
        <w:rPr>
          <w:rFonts w:hint="eastAsia" w:ascii="宋体" w:hAnsi="宋体" w:eastAsia="宋体" w:cs="宋体"/>
          <w:color w:val="auto"/>
          <w:kern w:val="0"/>
          <w:sz w:val="21"/>
          <w:szCs w:val="21"/>
        </w:rPr>
        <w:t>小时。</w:t>
      </w:r>
      <w:r>
        <w:rPr>
          <w:rFonts w:hint="eastAsia" w:ascii="宋体" w:hAnsi="宋体" w:eastAsia="宋体" w:cs="宋体"/>
          <w:color w:val="auto"/>
          <w:sz w:val="21"/>
          <w:szCs w:val="21"/>
        </w:rPr>
        <w:t>有效期1</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个月</w:t>
      </w:r>
      <w:r>
        <w:rPr>
          <w:rFonts w:hint="eastAsia" w:ascii="宋体" w:hAnsi="宋体" w:eastAsia="宋体" w:cs="宋体"/>
          <w:color w:val="auto"/>
          <w:sz w:val="21"/>
          <w:szCs w:val="21"/>
          <w:lang w:eastAsia="zh-CN"/>
        </w:rPr>
        <w:t>。</w:t>
      </w:r>
    </w:p>
    <w:p w14:paraId="7556B12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b）按照指导储存和操作时，试剂在效期内保持稳定。</w:t>
      </w:r>
    </w:p>
    <w:p w14:paraId="132D2C3B">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c）</w:t>
      </w:r>
      <w:r>
        <w:rPr>
          <w:rFonts w:hint="eastAsia" w:ascii="宋体" w:hAnsi="宋体" w:eastAsia="宋体" w:cs="宋体"/>
          <w:color w:val="auto"/>
          <w:kern w:val="0"/>
          <w:sz w:val="21"/>
          <w:szCs w:val="21"/>
        </w:rPr>
        <w:t>铁蛋白</w:t>
      </w:r>
      <w:r>
        <w:rPr>
          <w:rFonts w:hint="eastAsia" w:ascii="宋体" w:hAnsi="宋体" w:eastAsia="宋体" w:cs="宋体"/>
          <w:color w:val="auto"/>
          <w:sz w:val="21"/>
          <w:szCs w:val="21"/>
        </w:rPr>
        <w:t>测定试剂盒在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sz w:val="21"/>
          <w:szCs w:val="21"/>
        </w:rPr>
        <w:t xml:space="preserve"> 系统上最长可以储存30天。</w:t>
      </w:r>
    </w:p>
    <w:p w14:paraId="62F2D1AF">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cs="宋体"/>
          <w:szCs w:val="21"/>
        </w:rPr>
      </w:pPr>
      <w:r>
        <w:rPr>
          <w:rFonts w:hint="eastAsia" w:ascii="宋体" w:hAnsi="宋体" w:eastAsia="宋体" w:cs="宋体"/>
          <w:color w:val="auto"/>
          <w:sz w:val="21"/>
          <w:szCs w:val="21"/>
        </w:rPr>
        <w:t>d）试剂可以在</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w:t>
      </w:r>
      <w:r>
        <w:rPr>
          <w:rFonts w:hint="eastAsia" w:ascii="宋体" w:hAnsi="宋体" w:eastAsia="宋体" w:cs="宋体"/>
          <w:color w:val="auto"/>
          <w:sz w:val="21"/>
          <w:szCs w:val="21"/>
        </w:rPr>
        <w:t>系统上储存，也可以脱离系统储存。如果试剂脱离系统储存，需将其竖直向上储存于2-8℃(盖有软盖和替换盖)。试剂从系统上取出后，建议将其放回原始托架和包装盒中储存，以确保其竖直向上放置。如果微粒子试剂瓶在脱离系统冷藏储存时没有竖直向上放置(盖有软盖)，那么必须丢弃该试剂盒。</w:t>
      </w:r>
    </w:p>
    <w:p w14:paraId="26834C8F">
      <w:pPr>
        <w:numPr>
          <w:ilvl w:val="1"/>
          <w:numId w:val="3"/>
        </w:numPr>
        <w:autoSpaceDE w:val="0"/>
        <w:autoSpaceDN w:val="0"/>
        <w:adjustRightInd w:val="0"/>
        <w:spacing w:line="360" w:lineRule="auto"/>
        <w:jc w:val="left"/>
        <w:rPr>
          <w:rFonts w:hint="eastAsia" w:ascii="宋体" w:hAnsi="宋体" w:cs="宋体"/>
          <w:szCs w:val="21"/>
        </w:rPr>
      </w:pPr>
      <w:r>
        <w:rPr>
          <w:rFonts w:ascii="宋体" w:hAnsi="宋体" w:cs="黑体"/>
          <w:szCs w:val="21"/>
        </w:rPr>
        <w:t xml:space="preserve">8.2.2 </w:t>
      </w:r>
      <w:r>
        <w:rPr>
          <w:rFonts w:hint="eastAsia" w:ascii="宋体" w:hAnsi="宋体" w:cs="宋体"/>
          <w:szCs w:val="21"/>
        </w:rPr>
        <w:t>校准品：</w:t>
      </w:r>
      <w:r>
        <w:rPr>
          <w:rFonts w:hint="eastAsia" w:ascii="宋体" w:hAnsi="宋体"/>
          <w:lang w:val="en-US" w:eastAsia="zh-CN"/>
        </w:rPr>
        <w:t>雅培</w:t>
      </w:r>
      <w:r>
        <w:rPr>
          <w:rFonts w:hint="eastAsia" w:ascii="宋体" w:hAnsi="宋体"/>
        </w:rPr>
        <w:t>Alinity</w:t>
      </w:r>
      <w:r>
        <w:rPr>
          <w:rFonts w:hint="eastAsia" w:ascii="宋体" w:hAnsi="宋体"/>
          <w:lang w:val="en-US" w:eastAsia="zh-CN"/>
        </w:rPr>
        <w:t xml:space="preserve"> </w:t>
      </w:r>
      <w:r>
        <w:rPr>
          <w:rFonts w:hint="eastAsia" w:ascii="宋体" w:hAnsi="宋体"/>
        </w:rPr>
        <w:t>i全自动化学发光免疫分析仪</w:t>
      </w:r>
      <w:r>
        <w:rPr>
          <w:rFonts w:hint="eastAsia" w:ascii="宋体" w:hAnsi="宋体" w:cs="宋体"/>
          <w:color w:val="auto"/>
          <w:szCs w:val="21"/>
        </w:rPr>
        <w:t>液态校准血清</w:t>
      </w:r>
      <w:r>
        <w:rPr>
          <w:rFonts w:hint="default" w:ascii="宋体" w:hAnsi="宋体" w:cs="宋体"/>
          <w:color w:val="auto"/>
          <w:szCs w:val="21"/>
          <w:lang w:val="en-US"/>
        </w:rPr>
        <w:tab/>
      </w:r>
      <w:r>
        <w:rPr>
          <w:rFonts w:hint="default" w:ascii="宋体" w:hAnsi="宋体" w:cs="宋体"/>
          <w:color w:val="auto"/>
          <w:szCs w:val="21"/>
          <w:lang w:val="en-US"/>
        </w:rPr>
        <w:t>，</w:t>
      </w:r>
      <w:r>
        <w:rPr>
          <w:rFonts w:hint="eastAsia" w:ascii="宋体" w:hAnsi="宋体" w:cs="宋体"/>
          <w:szCs w:val="21"/>
        </w:rPr>
        <w:t>用前须充分混匀。规格：</w:t>
      </w:r>
      <w:r>
        <w:rPr>
          <w:rFonts w:hint="default" w:ascii="宋体" w:hAnsi="宋体" w:cs="宋体"/>
          <w:szCs w:val="21"/>
          <w:lang w:val="en-US" w:eastAsia="zh-CN"/>
        </w:rPr>
        <w:t>2</w:t>
      </w:r>
      <w:r>
        <w:rPr>
          <w:rFonts w:hint="eastAsia" w:ascii="宋体" w:hAnsi="宋体" w:cs="宋体"/>
          <w:szCs w:val="21"/>
        </w:rPr>
        <w:t>×</w:t>
      </w:r>
      <w:r>
        <w:rPr>
          <w:rFonts w:hint="default" w:ascii="宋体" w:hAnsi="宋体" w:cs="宋体"/>
          <w:szCs w:val="21"/>
          <w:lang w:val="en-US" w:eastAsia="zh-CN"/>
        </w:rPr>
        <w:t>3</w:t>
      </w:r>
      <w:r>
        <w:rPr>
          <w:rFonts w:ascii="宋体" w:hAnsi="宋体" w:cs="宋体"/>
          <w:szCs w:val="21"/>
        </w:rPr>
        <w:t>mL</w:t>
      </w:r>
      <w:r>
        <w:rPr>
          <w:rFonts w:hint="eastAsia" w:ascii="宋体" w:hAnsi="宋体" w:cs="宋体"/>
          <w:szCs w:val="21"/>
        </w:rPr>
        <w:t>。稳定性：</w:t>
      </w:r>
      <w:r>
        <w:rPr>
          <w:rFonts w:hint="eastAsia" w:ascii="宋体" w:hAnsi="宋体" w:eastAsia="宋体" w:cs="宋体"/>
          <w:color w:val="000000"/>
          <w:kern w:val="0"/>
          <w:sz w:val="21"/>
          <w:szCs w:val="21"/>
          <w:lang w:bidi="ar"/>
        </w:rPr>
        <w:t>2℃</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8℃储存，有效期12个月。</w:t>
      </w:r>
    </w:p>
    <w:p w14:paraId="161CC9B7">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9 </w:t>
      </w:r>
      <w:r>
        <w:rPr>
          <w:rFonts w:hint="eastAsia" w:ascii="宋体" w:hAnsi="宋体" w:cs="黑体"/>
          <w:b/>
          <w:bCs/>
          <w:color w:val="auto"/>
          <w:szCs w:val="21"/>
        </w:rPr>
        <w:t>环境和安全控制</w:t>
      </w:r>
    </w:p>
    <w:p w14:paraId="18E3695E">
      <w:pPr>
        <w:spacing w:after="0" w:line="312" w:lineRule="auto"/>
        <w:ind w:firstLine="420" w:firstLineChars="0"/>
        <w:rPr>
          <w:rFonts w:cs="Times New Roman" w:asciiTheme="minorEastAsia" w:hAnsiTheme="minorEastAsia" w:eastAsiaTheme="minorEastAsia"/>
          <w:sz w:val="24"/>
          <w:szCs w:val="24"/>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.1环境温度：</w:t>
      </w:r>
      <w:r>
        <w:rPr>
          <w:rFonts w:hint="eastAsia" w:ascii="宋体" w:hAnsi="宋体"/>
        </w:rPr>
        <w:t>15</w:t>
      </w:r>
      <w:r>
        <w:rPr>
          <w:rFonts w:ascii="宋体" w:hAnsi="宋体"/>
        </w:rPr>
        <w:t>～</w:t>
      </w:r>
      <w:r>
        <w:rPr>
          <w:rFonts w:hint="eastAsia" w:ascii="宋体" w:hAnsi="宋体"/>
        </w:rPr>
        <w:t>30℃</w:t>
      </w:r>
      <w:r>
        <w:rPr>
          <w:rFonts w:hint="eastAsia" w:cs="Times New Roman" w:asciiTheme="minorEastAsia" w:hAnsiTheme="minorEastAsia" w:eastAsiaTheme="minorEastAsia"/>
          <w:sz w:val="24"/>
          <w:szCs w:val="24"/>
        </w:rPr>
        <w:t>。</w:t>
      </w:r>
    </w:p>
    <w:p w14:paraId="7536DF2E">
      <w:pPr>
        <w:spacing w:after="0" w:line="312" w:lineRule="auto"/>
        <w:ind w:firstLine="420" w:firstLineChars="0"/>
        <w:rPr>
          <w:rFonts w:hint="eastAsia" w:ascii="宋体" w:hAnsi="宋体" w:cs="黑体"/>
          <w:b/>
          <w:bCs/>
          <w:color w:val="auto"/>
          <w:szCs w:val="21"/>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.2相对湿度：</w:t>
      </w:r>
      <w:r>
        <w:rPr>
          <w:rFonts w:hint="eastAsia" w:ascii="宋体" w:hAnsi="宋体"/>
        </w:rPr>
        <w:t>20</w:t>
      </w:r>
      <w:r>
        <w:rPr>
          <w:rFonts w:ascii="宋体" w:hAnsi="宋体"/>
        </w:rPr>
        <w:t>～</w:t>
      </w:r>
      <w:r>
        <w:rPr>
          <w:rFonts w:hint="eastAsia" w:ascii="宋体" w:hAnsi="宋体"/>
        </w:rPr>
        <w:t>85%</w:t>
      </w:r>
      <w:r>
        <w:rPr>
          <w:rFonts w:hint="eastAsia" w:cs="Times New Roman" w:asciiTheme="minorEastAsia" w:hAnsiTheme="minorEastAsia" w:eastAsiaTheme="minorEastAsia"/>
          <w:sz w:val="24"/>
          <w:szCs w:val="24"/>
        </w:rPr>
        <w:t>。</w:t>
      </w:r>
    </w:p>
    <w:p w14:paraId="44A4BB47">
      <w:pPr>
        <w:autoSpaceDE w:val="0"/>
        <w:autoSpaceDN w:val="0"/>
        <w:adjustRightInd w:val="0"/>
        <w:spacing w:after="125" w:line="360" w:lineRule="auto"/>
        <w:ind w:firstLine="420" w:firstLineChars="0"/>
        <w:jc w:val="left"/>
        <w:rPr>
          <w:rFonts w:hint="eastAsia" w:ascii="宋体" w:hAnsi="宋体" w:cs="宋体"/>
          <w:color w:val="auto"/>
          <w:sz w:val="21"/>
          <w:szCs w:val="21"/>
          <w:lang w:eastAsia="zh-CN"/>
        </w:rPr>
      </w:pPr>
      <w:r>
        <w:rPr>
          <w:rFonts w:hint="eastAsia" w:cs="宋体" w:asciiTheme="minorEastAsia" w:hAnsiTheme="minorEastAsia" w:eastAsiaTheme="minorEastAsia"/>
          <w:sz w:val="24"/>
          <w:szCs w:val="24"/>
          <w:lang w:val="en-US" w:eastAsia="zh-CN"/>
        </w:rPr>
        <w:t>9</w:t>
      </w:r>
      <w:r>
        <w:rPr>
          <w:rFonts w:hint="eastAsia" w:cs="Times New Roman" w:asciiTheme="minorEastAsia" w:hAnsiTheme="minorEastAsia" w:eastAsiaTheme="minorEastAsia"/>
          <w:sz w:val="24"/>
          <w:szCs w:val="24"/>
        </w:rPr>
        <w:t>.</w:t>
      </w:r>
      <w:r>
        <w:rPr>
          <w:rFonts w:hint="eastAsia" w:cs="Times New Roman" w:asciiTheme="minorEastAsia" w:hAnsiTheme="minorEastAsia" w:eastAsiaTheme="minorEastAsia"/>
          <w:sz w:val="24"/>
          <w:szCs w:val="24"/>
          <w:lang w:val="en-US" w:eastAsia="zh-CN"/>
        </w:rPr>
        <w:t>3</w:t>
      </w:r>
      <w:r>
        <w:rPr>
          <w:rFonts w:hint="eastAsia" w:ascii="宋体" w:hAnsi="宋体" w:cs="宋体"/>
          <w:color w:val="auto"/>
          <w:szCs w:val="21"/>
        </w:rPr>
        <w:t>本检测试剂含动物源性物质，可能传播传染病。叠氮化钠防腐剂可在金属排水管道形成爆炸性化合物，应在弃置未稀释试剂后用水冲洗污水管，避免叠氮化合物积聚。仪器安全使用要求详见</w:t>
      </w:r>
      <w:r>
        <w:rPr>
          <w:rFonts w:hint="eastAsia" w:ascii="宋体" w:hAnsi="宋体" w:eastAsia="宋体" w:cs="宋体"/>
          <w:color w:val="auto"/>
          <w:sz w:val="21"/>
          <w:szCs w:val="21"/>
        </w:rPr>
        <w:t>按照《设施和环境管理程序》《实验室安全管理程序》《仪器设备管理程序》等相关文件执行</w:t>
      </w:r>
      <w:r>
        <w:rPr>
          <w:rFonts w:hint="eastAsia" w:ascii="宋体" w:hAnsi="宋体" w:cs="宋体"/>
          <w:color w:val="auto"/>
          <w:sz w:val="21"/>
          <w:szCs w:val="21"/>
          <w:lang w:eastAsia="zh-CN"/>
        </w:rPr>
        <w:t>。</w:t>
      </w:r>
    </w:p>
    <w:p w14:paraId="04AD968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10 </w:t>
      </w:r>
      <w:r>
        <w:rPr>
          <w:rFonts w:hint="eastAsia" w:ascii="宋体" w:hAnsi="宋体" w:cs="黑体"/>
          <w:b/>
          <w:bCs/>
          <w:color w:val="000000"/>
          <w:szCs w:val="21"/>
        </w:rPr>
        <w:t>校准程序</w:t>
      </w:r>
    </w:p>
    <w:p w14:paraId="358151E5">
      <w:pPr>
        <w:keepNext w:val="0"/>
        <w:keepLines w:val="0"/>
        <w:pageBreakBefore w:val="0"/>
        <w:widowControl w:val="0"/>
        <w:kinsoku/>
        <w:wordWrap/>
        <w:overflowPunct/>
        <w:topLinePunct w:val="0"/>
        <w:autoSpaceDE/>
        <w:autoSpaceDN/>
        <w:bidi w:val="0"/>
        <w:adjustRightInd/>
        <w:snapToGrid w:val="0"/>
        <w:spacing w:line="360" w:lineRule="auto"/>
        <w:ind w:firstLine="420" w:firstLineChars="0"/>
        <w:textAlignment w:val="auto"/>
        <w:rPr>
          <w:rFonts w:hint="eastAsia" w:ascii="宋体" w:hAnsi="宋体" w:eastAsia="宋体" w:cs="宋体"/>
          <w:sz w:val="21"/>
          <w:szCs w:val="21"/>
        </w:rPr>
      </w:pPr>
      <w:r>
        <w:rPr>
          <w:rFonts w:ascii="宋体" w:hAnsi="宋体" w:cs="黑体"/>
          <w:szCs w:val="21"/>
        </w:rPr>
        <w:t xml:space="preserve">10.1 </w:t>
      </w:r>
      <w:r>
        <w:rPr>
          <w:rFonts w:hint="eastAsia" w:ascii="宋体" w:hAnsi="宋体" w:cs="宋体"/>
          <w:szCs w:val="21"/>
        </w:rPr>
        <w:t>溯源性：校准品可溯源</w:t>
      </w:r>
      <w:r>
        <w:rPr>
          <w:rFonts w:hint="eastAsia" w:ascii="宋体" w:hAnsi="宋体" w:eastAsia="宋体" w:cs="宋体"/>
          <w:sz w:val="21"/>
          <w:szCs w:val="21"/>
        </w:rPr>
        <w:t>至雅培内部参考标准品。</w:t>
      </w:r>
    </w:p>
    <w:p w14:paraId="192BC834">
      <w:pPr>
        <w:numPr>
          <w:ilvl w:val="0"/>
          <w:numId w:val="0"/>
        </w:numPr>
        <w:autoSpaceDE w:val="0"/>
        <w:autoSpaceDN w:val="0"/>
        <w:adjustRightInd w:val="0"/>
        <w:spacing w:line="360" w:lineRule="auto"/>
        <w:ind w:firstLine="420" w:firstLineChars="0"/>
        <w:jc w:val="left"/>
        <w:rPr>
          <w:rFonts w:hint="eastAsia" w:ascii="宋体" w:hAnsi="宋体" w:cs="宋体"/>
          <w:color w:val="auto"/>
          <w:szCs w:val="21"/>
        </w:rPr>
      </w:pPr>
      <w:r>
        <w:rPr>
          <w:rFonts w:ascii="宋体" w:hAnsi="宋体" w:cs="黑体"/>
          <w:color w:val="auto"/>
          <w:szCs w:val="21"/>
        </w:rPr>
        <w:t xml:space="preserve">10.2 </w:t>
      </w:r>
      <w:r>
        <w:rPr>
          <w:rFonts w:hint="eastAsia" w:ascii="宋体" w:hAnsi="宋体" w:cs="宋体"/>
          <w:color w:val="auto"/>
          <w:szCs w:val="21"/>
        </w:rPr>
        <w:t>校准时机：校准周期</w:t>
      </w:r>
      <w:r>
        <w:rPr>
          <w:rFonts w:hint="eastAsia" w:ascii="宋体" w:hAnsi="宋体" w:cs="宋体"/>
          <w:color w:val="auto"/>
          <w:szCs w:val="21"/>
          <w:highlight w:val="none"/>
          <w:lang w:val="en-US" w:eastAsia="zh-CN"/>
        </w:rPr>
        <w:t>30天</w:t>
      </w:r>
      <w:r>
        <w:rPr>
          <w:rFonts w:hint="eastAsia" w:ascii="宋体" w:hAnsi="宋体" w:cs="宋体"/>
          <w:color w:val="auto"/>
          <w:szCs w:val="21"/>
        </w:rPr>
        <w:t>。当发生下列情况时，需重新校准分析：试剂批号改变或质控值显著变化；分析仪提示需要校准时；分析仪进行了重要预防性维护或更换了关键部件时。</w:t>
      </w:r>
    </w:p>
    <w:p w14:paraId="3FAC3B92">
      <w:pPr>
        <w:numPr>
          <w:ilvl w:val="0"/>
          <w:numId w:val="0"/>
        </w:numPr>
        <w:autoSpaceDE w:val="0"/>
        <w:autoSpaceDN w:val="0"/>
        <w:adjustRightInd w:val="0"/>
        <w:spacing w:line="360" w:lineRule="auto"/>
        <w:ind w:firstLine="420" w:firstLineChars="0"/>
        <w:jc w:val="left"/>
        <w:rPr>
          <w:rFonts w:hint="eastAsia" w:ascii="宋体" w:hAnsi="宋体" w:cs="宋体"/>
          <w:szCs w:val="21"/>
        </w:rPr>
      </w:pPr>
      <w:r>
        <w:rPr>
          <w:rFonts w:ascii="宋体" w:hAnsi="宋体" w:cs="黑体"/>
          <w:szCs w:val="21"/>
        </w:rPr>
        <w:t xml:space="preserve">10.3 </w:t>
      </w:r>
      <w:r>
        <w:rPr>
          <w:rFonts w:hint="eastAsia" w:ascii="宋体" w:hAnsi="宋体" w:cs="宋体"/>
          <w:szCs w:val="21"/>
        </w:rPr>
        <w:t>校准步骤：</w:t>
      </w:r>
      <w:r>
        <w:rPr>
          <w:rFonts w:hint="eastAsia" w:ascii="宋体" w:hAnsi="宋体" w:eastAsia="宋体" w:cs="宋体"/>
          <w:sz w:val="21"/>
          <w:szCs w:val="21"/>
        </w:rPr>
        <w:t>具体操作见</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p>
    <w:p w14:paraId="1424ED45">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11 </w:t>
      </w:r>
      <w:r>
        <w:rPr>
          <w:rFonts w:hint="eastAsia" w:ascii="宋体" w:hAnsi="宋体" w:cs="黑体"/>
          <w:b/>
          <w:bCs/>
          <w:color w:val="auto"/>
          <w:szCs w:val="21"/>
        </w:rPr>
        <w:t>操作步骤</w:t>
      </w:r>
    </w:p>
    <w:p w14:paraId="4A4B21BC">
      <w:pPr>
        <w:numPr>
          <w:ilvl w:val="0"/>
          <w:numId w:val="0"/>
        </w:numPr>
        <w:autoSpaceDE w:val="0"/>
        <w:autoSpaceDN w:val="0"/>
        <w:adjustRightInd w:val="0"/>
        <w:spacing w:line="360" w:lineRule="auto"/>
        <w:ind w:firstLine="420" w:firstLineChars="0"/>
        <w:jc w:val="left"/>
        <w:rPr>
          <w:rFonts w:hint="eastAsia" w:ascii="宋体" w:hAnsi="宋体" w:eastAsia="宋体" w:cs="宋体"/>
          <w:color w:val="auto"/>
          <w:szCs w:val="21"/>
        </w:rPr>
      </w:pPr>
      <w:r>
        <w:rPr>
          <w:rFonts w:hint="eastAsia" w:ascii="宋体" w:hAnsi="宋体" w:eastAsia="宋体" w:cs="宋体"/>
          <w:color w:val="auto"/>
          <w:szCs w:val="21"/>
          <w:lang w:val="en-US" w:eastAsia="zh-CN"/>
        </w:rPr>
        <w:t>雅培</w:t>
      </w:r>
      <w:r>
        <w:rPr>
          <w:rFonts w:hint="eastAsia" w:ascii="宋体" w:hAnsi="宋体" w:eastAsia="宋体" w:cs="宋体"/>
          <w:color w:val="auto"/>
          <w:szCs w:val="21"/>
        </w:rPr>
        <w:t>Alinity</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rPr>
        <w:t>i全自动化学发光免疫分析仪检测步骤</w:t>
      </w: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 xml:space="preserve">第一步，将样本和铁蛋白抗体包被的顺磁微粒子混合。样本中的铁 </w:t>
      </w:r>
      <w:r>
        <w:rPr>
          <w:rFonts w:hint="default" w:ascii="宋体" w:hAnsi="宋体" w:eastAsia="宋体" w:cs="宋体"/>
          <w:color w:val="auto"/>
          <w:szCs w:val="21"/>
          <w:lang w:val="en-US" w:eastAsia="zh-CN"/>
        </w:rPr>
        <w:t>蛋白与铁蛋白抗体包被的微粒子结合。冲洗后进入第二步，加入吖啶酯标记的铁蛋白抗体结合物。然后将预激发液和激发液加入到反应混合物中；测量产生的化学发光反应，以相对发光单位(RLUs)表示。样本中的铁蛋白含量与光学系统检测到的RLUs值之间成正比。</w:t>
      </w:r>
    </w:p>
    <w:tbl>
      <w:tblPr>
        <w:tblStyle w:val="13"/>
        <w:tblW w:w="9093" w:type="dxa"/>
        <w:tblInd w:w="102"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autofit"/>
        <w:tblCellMar>
          <w:top w:w="0" w:type="dxa"/>
          <w:left w:w="108" w:type="dxa"/>
          <w:bottom w:w="0" w:type="dxa"/>
          <w:right w:w="108" w:type="dxa"/>
        </w:tblCellMar>
      </w:tblPr>
      <w:tblGrid>
        <w:gridCol w:w="711"/>
        <w:gridCol w:w="8382"/>
      </w:tblGrid>
      <w:tr w14:paraId="3DF5695C">
        <w:trPr>
          <w:trHeight w:val="423"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7C749CB6">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步骤</w:t>
            </w:r>
          </w:p>
        </w:tc>
        <w:tc>
          <w:tcPr>
            <w:tcW w:w="8382" w:type="dxa"/>
            <w:tcBorders>
              <w:top w:val="single" w:color="000000" w:sz="4" w:space="0"/>
              <w:left w:val="single" w:color="000000" w:sz="4" w:space="0"/>
              <w:bottom w:val="single" w:color="000000" w:sz="4" w:space="0"/>
              <w:right w:val="single" w:color="000000" w:sz="4" w:space="0"/>
            </w:tcBorders>
            <w:vAlign w:val="bottom"/>
          </w:tcPr>
          <w:p w14:paraId="11C6BF71">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操作</w:t>
            </w:r>
          </w:p>
        </w:tc>
      </w:tr>
      <w:tr w14:paraId="3E705A19">
        <w:trPr>
          <w:trHeight w:val="1210" w:hRule="atLeast"/>
        </w:trPr>
        <w:tc>
          <w:tcPr>
            <w:tcW w:w="711" w:type="dxa"/>
            <w:tcBorders>
              <w:top w:val="single" w:color="000000" w:sz="4" w:space="0"/>
              <w:left w:val="single" w:color="000000" w:sz="4" w:space="0"/>
              <w:bottom w:val="single" w:color="000000" w:sz="4" w:space="0"/>
              <w:right w:val="single" w:color="000000" w:sz="4" w:space="0"/>
            </w:tcBorders>
          </w:tcPr>
          <w:p w14:paraId="65C557E9">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1 </w:t>
            </w:r>
          </w:p>
        </w:tc>
        <w:tc>
          <w:tcPr>
            <w:tcW w:w="8382" w:type="dxa"/>
            <w:tcBorders>
              <w:top w:val="single" w:color="000000" w:sz="4" w:space="0"/>
              <w:left w:val="single" w:color="000000" w:sz="4" w:space="0"/>
              <w:bottom w:val="single" w:color="000000" w:sz="4" w:space="0"/>
              <w:right w:val="single" w:color="000000" w:sz="4" w:space="0"/>
            </w:tcBorders>
            <w:vAlign w:val="bottom"/>
          </w:tcPr>
          <w:p w14:paraId="794FC58F">
            <w:pPr>
              <w:autoSpaceDE w:val="0"/>
              <w:autoSpaceDN w:val="0"/>
              <w:adjustRightInd w:val="0"/>
              <w:spacing w:line="360" w:lineRule="auto"/>
              <w:jc w:val="left"/>
              <w:rPr>
                <w:rFonts w:hint="default" w:ascii="宋体" w:hAnsi="宋体" w:eastAsia="宋体" w:cs="Times New Roman"/>
                <w:lang w:val="en-US" w:eastAsia="zh-CN"/>
              </w:rPr>
            </w:pPr>
            <w:r>
              <w:rPr>
                <w:rFonts w:hint="eastAsia" w:ascii="宋体" w:hAnsi="宋体" w:eastAsia="宋体" w:cs="Times New Roman"/>
                <w:lang w:val="en-US" w:eastAsia="zh-CN"/>
              </w:rPr>
              <w:t>样品编程： 主界面中点击“申请”→ 在申请界面下方点击“创建申请”→在创建申请界面点击“标本”→在申请类型下选择单个标本或条码批量处理→点击右侧项目或项目组合选项，选择姚检测的项目或项目组合→需要时，点击界面下方项目选项选择和输入自动稀释模式和重复测试数→点击“完成”返回申请界面→点击界面下方申请状态，查看标本申请状态→也可以使用组合选择项目组合组套。在每个项目中可以以选择重复次数和稀释方案→点击“完成”，点击“添加申请”以保存。</w:t>
            </w:r>
          </w:p>
        </w:tc>
      </w:tr>
      <w:tr w14:paraId="7CD9CC32">
        <w:trPr>
          <w:trHeight w:val="410" w:hRule="atLeast"/>
        </w:trPr>
        <w:tc>
          <w:tcPr>
            <w:tcW w:w="711" w:type="dxa"/>
            <w:tcBorders>
              <w:top w:val="single" w:color="000000" w:sz="4" w:space="0"/>
              <w:left w:val="single" w:color="000000" w:sz="4" w:space="0"/>
              <w:bottom w:val="single" w:color="000000" w:sz="4" w:space="0"/>
              <w:right w:val="single" w:color="000000" w:sz="4" w:space="0"/>
            </w:tcBorders>
            <w:vAlign w:val="bottom"/>
          </w:tcPr>
          <w:p w14:paraId="5D9B847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2 </w:t>
            </w:r>
          </w:p>
        </w:tc>
        <w:tc>
          <w:tcPr>
            <w:tcW w:w="8382" w:type="dxa"/>
            <w:tcBorders>
              <w:top w:val="single" w:color="000000" w:sz="4" w:space="0"/>
              <w:left w:val="single" w:color="000000" w:sz="4" w:space="0"/>
              <w:bottom w:val="single" w:color="000000" w:sz="4" w:space="0"/>
              <w:right w:val="single" w:color="000000" w:sz="4" w:space="0"/>
            </w:tcBorders>
            <w:vAlign w:val="bottom"/>
          </w:tcPr>
          <w:p w14:paraId="163E179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样品检测：在菜单栏上点击主屏幕“HOME”图标→在主屏幕上，点击试剂和样品传输模块和处理模块图标→点击“运行”，传输模块和处理模块到“Running”→自动申请的含有条码的样品管，应将条码朝外→批量处理的样品架，将样品架放置在样品托盘中，再将托盘推入试剂和样品传输模块（RSM）任一可用的装载位，直到装载指示灯（绿色）亮起→单个处理的样品架，直接将样品架推入试剂和样品传输模块（RSM）任一可用的装载位，直到装载指示灯（绿色）亮起。</w:t>
            </w:r>
          </w:p>
        </w:tc>
      </w:tr>
      <w:tr w14:paraId="5306DF72">
        <w:trPr>
          <w:trHeight w:val="310" w:hRule="atLeast"/>
        </w:trPr>
        <w:tc>
          <w:tcPr>
            <w:tcW w:w="711" w:type="dxa"/>
            <w:tcBorders>
              <w:top w:val="single" w:color="000000" w:sz="4" w:space="0"/>
              <w:left w:val="single" w:color="000000" w:sz="4" w:space="0"/>
              <w:bottom w:val="single" w:color="000000" w:sz="4" w:space="0"/>
              <w:right w:val="single" w:color="000000" w:sz="4" w:space="0"/>
            </w:tcBorders>
          </w:tcPr>
          <w:p w14:paraId="6A34A46B">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3</w:t>
            </w:r>
          </w:p>
        </w:tc>
        <w:tc>
          <w:tcPr>
            <w:tcW w:w="8382" w:type="dxa"/>
            <w:tcBorders>
              <w:top w:val="single" w:color="000000" w:sz="4" w:space="0"/>
              <w:left w:val="single" w:color="000000" w:sz="4" w:space="0"/>
              <w:bottom w:val="single" w:color="000000" w:sz="4" w:space="0"/>
              <w:right w:val="single" w:color="000000" w:sz="4" w:space="0"/>
            </w:tcBorders>
            <w:vAlign w:val="bottom"/>
          </w:tcPr>
          <w:p w14:paraId="41D1443C">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检测结果传输：结果屏幕→菜单栏，点击“结果”→选择需要传输结果→点击“传输”</w:t>
            </w:r>
          </w:p>
        </w:tc>
      </w:tr>
      <w:tr w14:paraId="627A857B">
        <w:trPr>
          <w:trHeight w:val="810" w:hRule="atLeast"/>
        </w:trPr>
        <w:tc>
          <w:tcPr>
            <w:tcW w:w="711" w:type="dxa"/>
            <w:tcBorders>
              <w:top w:val="single" w:color="000000" w:sz="4" w:space="0"/>
              <w:left w:val="single" w:color="000000" w:sz="4" w:space="0"/>
              <w:bottom w:val="single" w:color="000000" w:sz="4" w:space="0"/>
              <w:right w:val="single" w:color="000000" w:sz="4" w:space="0"/>
            </w:tcBorders>
          </w:tcPr>
          <w:p w14:paraId="2E480828">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 xml:space="preserve">4 </w:t>
            </w:r>
          </w:p>
        </w:tc>
        <w:tc>
          <w:tcPr>
            <w:tcW w:w="8382" w:type="dxa"/>
            <w:tcBorders>
              <w:top w:val="single" w:color="000000" w:sz="4" w:space="0"/>
              <w:left w:val="single" w:color="000000" w:sz="4" w:space="0"/>
              <w:bottom w:val="single" w:color="000000" w:sz="4" w:space="0"/>
              <w:right w:val="single" w:color="000000" w:sz="4" w:space="0"/>
            </w:tcBorders>
            <w:vAlign w:val="bottom"/>
          </w:tcPr>
          <w:p w14:paraId="06BDE655">
            <w:pPr>
              <w:autoSpaceDE w:val="0"/>
              <w:autoSpaceDN w:val="0"/>
              <w:adjustRightInd w:val="0"/>
              <w:spacing w:line="360" w:lineRule="auto"/>
              <w:jc w:val="left"/>
              <w:rPr>
                <w:rFonts w:hint="eastAsia" w:ascii="宋体" w:hAnsi="宋体" w:eastAsia="宋体" w:cs="Times New Roman"/>
                <w:lang w:val="en-US" w:eastAsia="zh-CN"/>
              </w:rPr>
            </w:pPr>
            <w:r>
              <w:rPr>
                <w:rFonts w:hint="eastAsia" w:ascii="宋体" w:hAnsi="宋体" w:eastAsia="宋体" w:cs="Times New Roman"/>
                <w:lang w:val="en-US" w:eastAsia="zh-CN"/>
              </w:rPr>
              <w:t>检测结果查询：结果屏幕→菜单栏，点击“结果”→点击未“释放”选项卡，查看未释放的测试结果列表→点击“标本”选项卡，查看已释放的患者标本测试结果列表→点击“异常报警”选项卡，查看发生异常报警的测试结果列表。</w:t>
            </w:r>
          </w:p>
        </w:tc>
      </w:tr>
    </w:tbl>
    <w:p w14:paraId="2A4998B9">
      <w:pPr>
        <w:autoSpaceDE w:val="0"/>
        <w:autoSpaceDN w:val="0"/>
        <w:adjustRightInd w:val="0"/>
        <w:spacing w:after="125" w:line="360" w:lineRule="auto"/>
        <w:jc w:val="left"/>
        <w:rPr>
          <w:rFonts w:hint="eastAsia" w:ascii="宋体" w:hAnsi="宋体"/>
        </w:rPr>
      </w:pPr>
      <w:r>
        <w:rPr>
          <w:rFonts w:ascii="宋体" w:hAnsi="宋体" w:cstheme="minorBidi"/>
          <w:szCs w:val="21"/>
        </w:rPr>
        <w:t>注：仪器具体操作步骤见编号XXX的</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p>
    <w:p w14:paraId="50C42D05">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12 </w:t>
      </w:r>
      <w:r>
        <w:rPr>
          <w:rFonts w:hint="eastAsia" w:ascii="宋体" w:hAnsi="宋体" w:cs="黑体"/>
          <w:b/>
          <w:bCs/>
          <w:color w:val="000000"/>
          <w:szCs w:val="21"/>
        </w:rPr>
        <w:t>质量控制</w:t>
      </w:r>
      <w:r>
        <w:rPr>
          <w:rFonts w:ascii="宋体" w:hAnsi="宋体" w:cs="黑体"/>
          <w:b/>
          <w:bCs/>
          <w:color w:val="000000"/>
          <w:szCs w:val="21"/>
        </w:rPr>
        <w:t xml:space="preserve"> </w:t>
      </w:r>
    </w:p>
    <w:p w14:paraId="3144D8A9">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.1质控品：使用</w:t>
      </w:r>
      <w:r>
        <w:rPr>
          <w:rFonts w:hint="eastAsia" w:ascii="宋体" w:hAnsi="宋体" w:eastAsia="宋体"/>
          <w:lang w:val="en-US" w:eastAsia="zh-CN"/>
        </w:rPr>
        <w:t>雅培</w:t>
      </w:r>
      <w:r>
        <w:rPr>
          <w:rFonts w:ascii="宋体" w:hAnsi="宋体"/>
        </w:rPr>
        <w:t xml:space="preserve"> </w:t>
      </w:r>
      <w:r>
        <w:rPr>
          <w:rFonts w:ascii="宋体" w:hAnsi="宋体" w:cs="Arial"/>
          <w:lang w:val="en-GB"/>
        </w:rPr>
        <w:t>Alinityi</w:t>
      </w:r>
      <w:r>
        <w:rPr>
          <w:rFonts w:hint="eastAsia" w:ascii="宋体" w:hAnsi="宋体" w:eastAsia="宋体" w:cs="Times New Roman"/>
        </w:rPr>
        <w:t xml:space="preserve">公司配套定值质控品。两浓度水平，2-8℃下保存至有效期，禁止冻融。 </w:t>
      </w:r>
    </w:p>
    <w:p w14:paraId="3C57C83D">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.2质控规则：Westgard 质控规则，使用13S、22S、R4S质控规则。</w:t>
      </w:r>
    </w:p>
    <w:p w14:paraId="5A416EA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.3检测方法：指定质控品专用编号，滴6滴于带盖离心管，密封保存于2-8℃，每工作日按常规标本模式检测一次。记录质控结果。</w:t>
      </w:r>
    </w:p>
    <w:p w14:paraId="57AAA328">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color w:val="FF0000"/>
          <w:lang w:val="en-US" w:eastAsia="zh-CN"/>
        </w:rPr>
        <w:t>12</w:t>
      </w:r>
      <w:r>
        <w:rPr>
          <w:rFonts w:hint="eastAsia" w:ascii="宋体" w:hAnsi="宋体" w:eastAsia="宋体" w:cs="Times New Roman"/>
          <w:color w:val="FF0000"/>
        </w:rPr>
        <w:t>.4质量目标：参考行标WS-T 494：2017《临床定性免疫检验重要常规项目分析质量要求》，批内变异系数应&lt;10%,。批间变异系数应&lt;15%。</w:t>
      </w:r>
    </w:p>
    <w:p w14:paraId="50F174E6">
      <w:pPr>
        <w:spacing w:line="360" w:lineRule="auto"/>
        <w:ind w:firstLine="420" w:firstLineChars="0"/>
        <w:outlineLvl w:val="0"/>
        <w:rPr>
          <w:rFonts w:hint="eastAsia" w:ascii="宋体" w:hAnsi="宋体" w:eastAsia="宋体" w:cs="Times New Roman"/>
        </w:rPr>
      </w:pPr>
      <w:r>
        <w:rPr>
          <w:rFonts w:hint="eastAsia" w:ascii="宋体" w:hAnsi="宋体" w:eastAsia="宋体" w:cs="Times New Roman"/>
          <w:lang w:val="en-US" w:eastAsia="zh-CN"/>
        </w:rPr>
        <w:t>12</w:t>
      </w:r>
      <w:r>
        <w:rPr>
          <w:rFonts w:hint="eastAsia" w:ascii="宋体" w:hAnsi="宋体" w:eastAsia="宋体" w:cs="Times New Roman"/>
        </w:rPr>
        <w:t>.5如出现失控情况，按室内质控标准操作程序采取各种有效的纠正措施及时纠正，并在确认重新回复到控制状态后开始标本检测。</w:t>
      </w:r>
    </w:p>
    <w:p w14:paraId="31A633FD">
      <w:p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Times New Roman"/>
          <w:lang w:val="en-US" w:eastAsia="zh-CN"/>
        </w:rPr>
        <w:t>12</w:t>
      </w:r>
      <w:r>
        <w:rPr>
          <w:rFonts w:hint="eastAsia" w:ascii="宋体" w:hAnsi="宋体" w:eastAsia="宋体" w:cs="Times New Roman"/>
        </w:rPr>
        <w:t>.</w:t>
      </w:r>
      <w:r>
        <w:rPr>
          <w:rFonts w:hint="eastAsia" w:ascii="宋体" w:hAnsi="宋体" w:eastAsia="宋体" w:cs="Times New Roman"/>
          <w:lang w:val="en-US" w:eastAsia="zh-CN"/>
        </w:rPr>
        <w:t>6</w:t>
      </w:r>
      <w:r>
        <w:rPr>
          <w:rFonts w:hint="eastAsia" w:ascii="宋体" w:hAnsi="宋体" w:eastAsia="宋体" w:cs="宋体"/>
          <w:sz w:val="21"/>
          <w:szCs w:val="21"/>
        </w:rPr>
        <w:t>具体操作见《</w:t>
      </w:r>
      <w:r>
        <w:rPr>
          <w:rFonts w:hint="eastAsia" w:ascii="宋体" w:hAnsi="宋体" w:eastAsia="宋体" w:cs="宋体"/>
          <w:color w:val="000000"/>
          <w:sz w:val="21"/>
          <w:szCs w:val="21"/>
        </w:rPr>
        <w:t>ARCHITECT</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kern w:val="0"/>
          <w:sz w:val="21"/>
          <w:szCs w:val="21"/>
          <w:lang w:val="en-US" w:eastAsia="zh-CN" w:bidi="ar"/>
        </w:rPr>
        <w:t>Alinity i</w:t>
      </w:r>
      <w:r>
        <w:rPr>
          <w:rFonts w:hint="eastAsia" w:ascii="宋体" w:hAnsi="宋体" w:eastAsia="宋体" w:cs="宋体"/>
          <w:color w:val="000000"/>
          <w:sz w:val="21"/>
          <w:szCs w:val="21"/>
        </w:rPr>
        <w:t>微粒子化学发光免疫</w:t>
      </w:r>
      <w:r>
        <w:rPr>
          <w:rFonts w:hint="eastAsia" w:ascii="宋体" w:hAnsi="宋体" w:eastAsia="宋体" w:cs="宋体"/>
          <w:sz w:val="21"/>
          <w:szCs w:val="21"/>
        </w:rPr>
        <w:t>分析仪质控程序》。</w:t>
      </w:r>
      <w:bookmarkStart w:id="0" w:name="_GoBack"/>
      <w:bookmarkEnd w:id="0"/>
    </w:p>
    <w:p w14:paraId="48740D07">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13 </w:t>
      </w:r>
      <w:r>
        <w:rPr>
          <w:rFonts w:hint="eastAsia" w:ascii="宋体" w:hAnsi="宋体" w:cs="黑体"/>
          <w:b/>
          <w:bCs/>
          <w:color w:val="000000"/>
          <w:szCs w:val="21"/>
        </w:rPr>
        <w:t>干扰和交叉反应</w:t>
      </w:r>
    </w:p>
    <w:p w14:paraId="0ED639C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kern w:val="0"/>
          <w:sz w:val="21"/>
          <w:szCs w:val="21"/>
          <w:lang w:eastAsia="zh-CN"/>
        </w:rPr>
      </w:pPr>
      <w:r>
        <w:rPr>
          <w:rFonts w:hint="eastAsia" w:ascii="宋体" w:hAnsi="宋体" w:eastAsia="宋体" w:cs="宋体"/>
          <w:bCs/>
          <w:kern w:val="0"/>
          <w:sz w:val="21"/>
          <w:szCs w:val="21"/>
        </w:rPr>
        <w:t>以下浓度的血红蛋白、胆红素、甘油三酯和蛋白质对铁蛋白项目的平均干扰率≤10%</w:t>
      </w:r>
      <w:r>
        <w:rPr>
          <w:rFonts w:hint="eastAsia" w:ascii="宋体" w:hAnsi="宋体" w:eastAsia="宋体" w:cs="宋体"/>
          <w:bCs/>
          <w:kern w:val="0"/>
          <w:sz w:val="21"/>
          <w:szCs w:val="21"/>
          <w:lang w:eastAsia="zh-CN"/>
        </w:rPr>
        <w:t>：</w:t>
      </w:r>
    </w:p>
    <w:p w14:paraId="567E6B0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血红蛋白   200 mg/dL</w:t>
      </w:r>
    </w:p>
    <w:p w14:paraId="36328C3A">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胆红素     20 mg/dL</w:t>
      </w:r>
    </w:p>
    <w:p w14:paraId="2EAC7620">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甘油三酯   3000 mg/dL</w:t>
      </w:r>
    </w:p>
    <w:p w14:paraId="3FE58275">
      <w:pPr>
        <w:keepNext w:val="0"/>
        <w:keepLines w:val="0"/>
        <w:pageBreakBefore w:val="0"/>
        <w:widowControl/>
        <w:kinsoku/>
        <w:wordWrap/>
        <w:overflowPunct/>
        <w:topLinePunct w:val="0"/>
        <w:autoSpaceDE w:val="0"/>
        <w:autoSpaceDN w:val="0"/>
        <w:bidi w:val="0"/>
        <w:adjustRightInd w:val="0"/>
        <w:spacing w:line="360" w:lineRule="auto"/>
        <w:ind w:firstLine="420" w:firstLineChars="200"/>
        <w:jc w:val="left"/>
        <w:textAlignment w:val="auto"/>
        <w:rPr>
          <w:rFonts w:hint="eastAsia" w:ascii="宋体" w:hAnsi="宋体" w:eastAsia="宋体" w:cs="宋体"/>
          <w:bCs/>
          <w:kern w:val="0"/>
          <w:sz w:val="21"/>
          <w:szCs w:val="21"/>
        </w:rPr>
      </w:pPr>
      <w:r>
        <w:rPr>
          <w:rFonts w:hint="eastAsia" w:ascii="宋体" w:hAnsi="宋体" w:eastAsia="宋体" w:cs="宋体"/>
          <w:bCs/>
          <w:kern w:val="0"/>
          <w:sz w:val="21"/>
          <w:szCs w:val="21"/>
        </w:rPr>
        <w:t>总蛋白     2 g/dL和12 g/dL</w:t>
      </w:r>
    </w:p>
    <w:p w14:paraId="43034446">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 xml:space="preserve">14 </w:t>
      </w:r>
      <w:r>
        <w:rPr>
          <w:rFonts w:hint="eastAsia" w:ascii="宋体" w:hAnsi="宋体" w:cs="黑体"/>
          <w:b/>
          <w:bCs/>
          <w:color w:val="auto"/>
          <w:szCs w:val="21"/>
        </w:rPr>
        <w:t>结果的计算程序</w:t>
      </w:r>
    </w:p>
    <w:p w14:paraId="061C0FF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bidi="ar"/>
        </w:rPr>
        <w:t>仪器借助于定标曲线，自动地计算每一个样本的</w:t>
      </w:r>
      <w:r>
        <w:rPr>
          <w:rFonts w:hint="eastAsia" w:ascii="宋体" w:hAnsi="宋体" w:eastAsia="宋体" w:cs="宋体"/>
          <w:iCs/>
          <w:kern w:val="0"/>
          <w:sz w:val="21"/>
          <w:szCs w:val="21"/>
        </w:rPr>
        <w:t>Ferritin</w:t>
      </w:r>
      <w:r>
        <w:rPr>
          <w:rFonts w:hint="eastAsia" w:ascii="宋体" w:hAnsi="宋体" w:eastAsia="宋体" w:cs="宋体"/>
          <w:color w:val="000000"/>
          <w:kern w:val="0"/>
          <w:sz w:val="21"/>
          <w:szCs w:val="21"/>
          <w:lang w:bidi="ar"/>
        </w:rPr>
        <w:t>浓度，结果以</w:t>
      </w:r>
      <w:r>
        <w:rPr>
          <w:rFonts w:hint="eastAsia" w:ascii="宋体" w:hAnsi="宋体" w:eastAsia="宋体" w:cs="宋体"/>
          <w:color w:val="000000" w:themeColor="text1"/>
          <w:kern w:val="0"/>
          <w:sz w:val="21"/>
          <w:szCs w:val="21"/>
          <w:lang w:val="en-US" w:eastAsia="zh-CN"/>
          <w14:textFill>
            <w14:solidFill>
              <w14:schemeClr w14:val="tx1"/>
            </w14:solidFill>
          </w14:textFill>
        </w:rPr>
        <w:t>ng/mL</w:t>
      </w:r>
      <w:r>
        <w:rPr>
          <w:rFonts w:hint="eastAsia" w:ascii="宋体" w:hAnsi="宋体" w:eastAsia="宋体" w:cs="宋体"/>
          <w:color w:val="000000"/>
          <w:kern w:val="0"/>
          <w:sz w:val="21"/>
          <w:szCs w:val="21"/>
          <w:lang w:bidi="ar"/>
        </w:rPr>
        <w:t xml:space="preserve"> 表示。</w:t>
      </w:r>
    </w:p>
    <w:p w14:paraId="25D038D1">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15 </w:t>
      </w:r>
      <w:r>
        <w:rPr>
          <w:rFonts w:hint="eastAsia" w:ascii="宋体" w:hAnsi="宋体" w:cs="黑体"/>
          <w:b/>
          <w:bCs/>
          <w:color w:val="000000"/>
          <w:szCs w:val="21"/>
        </w:rPr>
        <w:t>参考区间和（或）医学决定水平</w:t>
      </w:r>
    </w:p>
    <w:p w14:paraId="1991E054">
      <w:pPr>
        <w:keepNext w:val="0"/>
        <w:keepLines w:val="0"/>
        <w:pageBreakBefore w:val="0"/>
        <w:kinsoku/>
        <w:wordWrap/>
        <w:overflowPunct/>
        <w:topLinePunct w:val="0"/>
        <w:bidi w:val="0"/>
        <w:snapToGrid/>
        <w:spacing w:line="360" w:lineRule="auto"/>
        <w:ind w:firstLine="420" w:firstLineChars="200"/>
        <w:textAlignment w:val="auto"/>
        <w:outlineLvl w:val="0"/>
        <w:rPr>
          <w:rFonts w:hint="eastAsia" w:ascii="宋体" w:hAnsi="宋体" w:cs="宋体"/>
          <w:szCs w:val="21"/>
        </w:rPr>
      </w:pPr>
      <w:r>
        <w:rPr>
          <w:rFonts w:hint="eastAsia" w:ascii="宋体" w:hAnsi="宋体" w:cs="宋体"/>
          <w:szCs w:val="21"/>
        </w:rPr>
        <w:t>血清</w:t>
      </w:r>
      <w:r>
        <w:rPr>
          <w:rFonts w:hint="eastAsia" w:ascii="宋体" w:hAnsi="宋体" w:cs="Arial"/>
          <w:bCs/>
          <w:sz w:val="20"/>
          <w:szCs w:val="20"/>
          <w:lang w:val="en-US" w:eastAsia="zh-CN"/>
        </w:rPr>
        <w:t>铁蛋白</w:t>
      </w:r>
      <w:r>
        <w:rPr>
          <w:rFonts w:hint="eastAsia" w:ascii="宋体" w:hAnsi="宋体" w:cs="宋体"/>
          <w:szCs w:val="21"/>
        </w:rPr>
        <w:t>：理想范围：</w:t>
      </w:r>
    </w:p>
    <w:p w14:paraId="15F2CEB9">
      <w:pPr>
        <w:keepNext w:val="0"/>
        <w:keepLines w:val="0"/>
        <w:pageBreakBefore w:val="0"/>
        <w:kinsoku/>
        <w:wordWrap/>
        <w:overflowPunct/>
        <w:topLinePunct w:val="0"/>
        <w:bidi w:val="0"/>
        <w:snapToGrid/>
        <w:spacing w:line="360" w:lineRule="auto"/>
        <w:ind w:firstLine="420" w:firstLineChars="200"/>
        <w:textAlignment w:val="auto"/>
        <w:outlineLvl w:val="0"/>
        <w:rPr>
          <w:rFonts w:hint="eastAsia" w:ascii="宋体" w:hAnsi="宋体" w:eastAsia="宋体" w:cs="宋体"/>
          <w:color w:val="000000" w:themeColor="text1"/>
          <w:kern w:val="0"/>
          <w:sz w:val="21"/>
          <w:szCs w:val="21"/>
          <w:lang w:val="en-US" w:eastAsia="zh-CN"/>
          <w14:textFill>
            <w14:solidFill>
              <w14:schemeClr w14:val="tx1"/>
            </w14:solidFill>
          </w14:textFill>
        </w:rPr>
      </w:pPr>
      <w:r>
        <w:rPr>
          <w:rFonts w:hint="eastAsia" w:ascii="宋体" w:hAnsi="宋体" w:eastAsia="宋体" w:cs="宋体"/>
          <w:b w:val="0"/>
          <w:bCs/>
          <w:sz w:val="21"/>
          <w:szCs w:val="21"/>
          <w:lang w:val="en-US" w:eastAsia="zh-CN"/>
        </w:rPr>
        <w:t>男性：</w:t>
      </w:r>
      <w:r>
        <w:rPr>
          <w:rFonts w:hint="eastAsia" w:ascii="宋体" w:hAnsi="宋体" w:eastAsia="宋体" w:cs="宋体"/>
          <w:color w:val="000000" w:themeColor="text1"/>
          <w:kern w:val="0"/>
          <w:sz w:val="21"/>
          <w:szCs w:val="21"/>
          <w14:textFill>
            <w14:solidFill>
              <w14:schemeClr w14:val="tx1"/>
            </w14:solidFill>
          </w14:textFill>
        </w:rPr>
        <w:t>21.81-274.66</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ng/mL</w:t>
      </w:r>
    </w:p>
    <w:p w14:paraId="0A789870">
      <w:pPr>
        <w:keepNext w:val="0"/>
        <w:keepLines w:val="0"/>
        <w:pageBreakBefore w:val="0"/>
        <w:kinsoku/>
        <w:wordWrap/>
        <w:overflowPunct/>
        <w:topLinePunct w:val="0"/>
        <w:bidi w:val="0"/>
        <w:snapToGrid/>
        <w:spacing w:line="360" w:lineRule="auto"/>
        <w:ind w:firstLine="420" w:firstLineChars="200"/>
        <w:textAlignment w:val="auto"/>
        <w:outlineLvl w:val="0"/>
        <w:rPr>
          <w:rFonts w:hint="eastAsia" w:ascii="宋体" w:hAnsi="宋体" w:cs="宋体"/>
          <w:szCs w:val="21"/>
        </w:rPr>
      </w:pPr>
      <w:r>
        <w:rPr>
          <w:rFonts w:hint="eastAsia" w:ascii="宋体" w:hAnsi="宋体" w:eastAsia="宋体" w:cs="宋体"/>
          <w:color w:val="000000" w:themeColor="text1"/>
          <w:kern w:val="0"/>
          <w:sz w:val="21"/>
          <w:szCs w:val="21"/>
          <w:lang w:val="en-US" w:eastAsia="zh-CN"/>
          <w14:textFill>
            <w14:solidFill>
              <w14:schemeClr w14:val="tx1"/>
            </w14:solidFill>
          </w14:textFill>
        </w:rPr>
        <w:t>女性：</w:t>
      </w:r>
      <w:r>
        <w:rPr>
          <w:rFonts w:hint="eastAsia" w:ascii="宋体" w:hAnsi="宋体" w:eastAsia="宋体" w:cs="宋体"/>
          <w:color w:val="000000" w:themeColor="text1"/>
          <w:kern w:val="0"/>
          <w:sz w:val="21"/>
          <w:szCs w:val="21"/>
          <w14:textFill>
            <w14:solidFill>
              <w14:schemeClr w14:val="tx1"/>
            </w14:solidFill>
          </w14:textFill>
        </w:rPr>
        <w:t>4.63-204.00</w:t>
      </w:r>
      <w:r>
        <w:rPr>
          <w:rFonts w:hint="eastAsia" w:ascii="宋体" w:hAnsi="宋体" w:eastAsia="宋体" w:cs="宋体"/>
          <w:color w:val="000000" w:themeColor="text1"/>
          <w:kern w:val="0"/>
          <w:sz w:val="21"/>
          <w:szCs w:val="21"/>
          <w:lang w:val="en-US" w:eastAsia="zh-CN"/>
          <w14:textFill>
            <w14:solidFill>
              <w14:schemeClr w14:val="tx1"/>
            </w14:solidFill>
          </w14:textFill>
        </w:rPr>
        <w:t xml:space="preserve">  ng/mL</w:t>
      </w:r>
    </w:p>
    <w:p w14:paraId="399FB10F">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16 </w:t>
      </w:r>
      <w:r>
        <w:rPr>
          <w:rFonts w:hint="eastAsia" w:ascii="宋体" w:hAnsi="宋体" w:cs="黑体"/>
          <w:b/>
          <w:bCs/>
          <w:color w:val="000000"/>
          <w:szCs w:val="21"/>
        </w:rPr>
        <w:t>检验结果的可报告区间</w:t>
      </w:r>
    </w:p>
    <w:p w14:paraId="18C047F4">
      <w:pPr>
        <w:keepNext w:val="0"/>
        <w:keepLines w:val="0"/>
        <w:pageBreakBefore w:val="0"/>
        <w:numPr>
          <w:ilvl w:val="0"/>
          <w:numId w:val="0"/>
        </w:numPr>
        <w:kinsoku/>
        <w:wordWrap/>
        <w:overflowPunct/>
        <w:topLinePunct w:val="0"/>
        <w:bidi w:val="0"/>
        <w:snapToGrid w:val="0"/>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kern w:val="0"/>
          <w:sz w:val="21"/>
          <w:szCs w:val="21"/>
        </w:rPr>
        <w:t>0 - 2000 ng/mL</w:t>
      </w:r>
      <w:r>
        <w:rPr>
          <w:rFonts w:hint="eastAsia" w:ascii="宋体" w:hAnsi="宋体" w:cs="宋体"/>
          <w:kern w:val="0"/>
          <w:sz w:val="21"/>
          <w:szCs w:val="21"/>
          <w:lang w:eastAsia="zh-CN"/>
        </w:rPr>
        <w:t>。</w:t>
      </w:r>
    </w:p>
    <w:p w14:paraId="5E22B008">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 xml:space="preserve">17 </w:t>
      </w:r>
      <w:r>
        <w:rPr>
          <w:rFonts w:hint="eastAsia" w:ascii="宋体" w:hAnsi="宋体" w:cs="黑体"/>
          <w:b/>
          <w:bCs/>
          <w:color w:val="000000"/>
          <w:szCs w:val="21"/>
        </w:rPr>
        <w:t>定量结果超出测量区间时的说明</w:t>
      </w:r>
    </w:p>
    <w:p w14:paraId="3BC21B7E">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b w:val="0"/>
          <w:sz w:val="21"/>
          <w:szCs w:val="21"/>
          <w:lang w:eastAsia="zh-CN"/>
        </w:rPr>
      </w:pPr>
      <w:r>
        <w:rPr>
          <w:rFonts w:hint="eastAsia" w:ascii="宋体" w:hAnsi="宋体" w:eastAsia="宋体" w:cs="宋体"/>
          <w:b w:val="0"/>
          <w:sz w:val="21"/>
          <w:szCs w:val="21"/>
          <w:lang w:val="en-US" w:eastAsia="zh-CN"/>
        </w:rPr>
        <w:t>1</w:t>
      </w:r>
      <w:r>
        <w:rPr>
          <w:rFonts w:hint="eastAsia" w:ascii="宋体" w:hAnsi="宋体" w:cs="宋体"/>
          <w:b w:val="0"/>
          <w:sz w:val="21"/>
          <w:szCs w:val="21"/>
          <w:lang w:val="en-US" w:eastAsia="zh-CN"/>
        </w:rPr>
        <w:t>7</w:t>
      </w:r>
      <w:r>
        <w:rPr>
          <w:rFonts w:hint="eastAsia" w:ascii="宋体" w:hAnsi="宋体" w:eastAsia="宋体" w:cs="宋体"/>
          <w:b w:val="0"/>
          <w:sz w:val="21"/>
          <w:szCs w:val="21"/>
          <w:lang w:val="en-US" w:eastAsia="zh-CN"/>
        </w:rPr>
        <w:t xml:space="preserve">.1 </w:t>
      </w:r>
      <w:r>
        <w:rPr>
          <w:rFonts w:hint="eastAsia" w:ascii="宋体" w:hAnsi="宋体" w:eastAsia="宋体" w:cs="宋体"/>
          <w:kern w:val="0"/>
          <w:sz w:val="21"/>
          <w:szCs w:val="21"/>
        </w:rPr>
        <w:t>铁蛋白浓度大于2000 ng/mL的样本会被添加“&gt;2000”标识</w:t>
      </w:r>
      <w:r>
        <w:rPr>
          <w:rFonts w:hint="eastAsia" w:ascii="宋体" w:hAnsi="宋体" w:eastAsia="宋体" w:cs="宋体"/>
          <w:b w:val="0"/>
          <w:sz w:val="21"/>
          <w:szCs w:val="21"/>
        </w:rPr>
        <w:t>，可以使用自动稀释程序</w:t>
      </w:r>
      <w:r>
        <w:rPr>
          <w:rFonts w:hint="eastAsia" w:ascii="宋体" w:hAnsi="宋体" w:eastAsia="宋体" w:cs="宋体"/>
          <w:b w:val="0"/>
          <w:sz w:val="21"/>
          <w:szCs w:val="21"/>
          <w:lang w:eastAsia="zh-CN"/>
        </w:rPr>
        <w:t>。</w:t>
      </w:r>
    </w:p>
    <w:p w14:paraId="7AC3A4F7">
      <w:pPr>
        <w:numPr>
          <w:ilvl w:val="0"/>
          <w:numId w:val="0"/>
        </w:numPr>
        <w:autoSpaceDE w:val="0"/>
        <w:autoSpaceDN w:val="0"/>
        <w:adjustRightInd w:val="0"/>
        <w:spacing w:after="125" w:line="360" w:lineRule="auto"/>
        <w:ind w:firstLine="420" w:firstLineChars="0"/>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 xml:space="preserve">.2 </w:t>
      </w:r>
      <w:r>
        <w:rPr>
          <w:rFonts w:hint="eastAsia" w:ascii="宋体" w:hAnsi="宋体" w:eastAsia="宋体" w:cs="宋体"/>
          <w:sz w:val="21"/>
          <w:szCs w:val="21"/>
        </w:rPr>
        <w:t>血清或血浆样本的自动稀释程序照如下方式进行：使用1:</w:t>
      </w:r>
      <w:r>
        <w:rPr>
          <w:rFonts w:hint="eastAsia" w:ascii="宋体" w:hAnsi="宋体" w:eastAsia="宋体" w:cs="宋体"/>
          <w:sz w:val="21"/>
          <w:szCs w:val="21"/>
          <w:lang w:val="en-US" w:eastAsia="zh-CN"/>
        </w:rPr>
        <w:t>20</w:t>
      </w:r>
      <w:r>
        <w:rPr>
          <w:rFonts w:hint="eastAsia" w:ascii="宋体" w:hAnsi="宋体" w:eastAsia="宋体" w:cs="宋体"/>
          <w:sz w:val="21"/>
          <w:szCs w:val="21"/>
        </w:rPr>
        <w:t>比例稀释血清或血浆样本。系统自动计算出样本稀释前的浓度并报告结果。</w:t>
      </w:r>
    </w:p>
    <w:p w14:paraId="5B155319">
      <w:pPr>
        <w:numPr>
          <w:ilvl w:val="0"/>
          <w:numId w:val="0"/>
        </w:numPr>
        <w:autoSpaceDE w:val="0"/>
        <w:autoSpaceDN w:val="0"/>
        <w:adjustRightInd w:val="0"/>
        <w:spacing w:after="125" w:line="360" w:lineRule="auto"/>
        <w:jc w:val="left"/>
        <w:rPr>
          <w:rFonts w:hint="eastAsia" w:ascii="宋体" w:hAnsi="宋体" w:cs="宋体"/>
          <w:b/>
          <w:bCs/>
          <w:szCs w:val="21"/>
        </w:rPr>
      </w:pPr>
      <w:r>
        <w:rPr>
          <w:rFonts w:ascii="宋体" w:hAnsi="宋体" w:cs="黑体"/>
          <w:b/>
          <w:bCs/>
          <w:color w:val="000000"/>
          <w:szCs w:val="21"/>
        </w:rPr>
        <w:t>1</w:t>
      </w:r>
      <w:r>
        <w:rPr>
          <w:rFonts w:hint="default" w:ascii="宋体" w:hAnsi="宋体" w:cs="黑体"/>
          <w:b/>
          <w:bCs/>
          <w:color w:val="000000"/>
          <w:szCs w:val="21"/>
          <w:lang w:val="en-US"/>
        </w:rPr>
        <w:t xml:space="preserve">8 </w:t>
      </w:r>
      <w:r>
        <w:rPr>
          <w:rFonts w:hint="eastAsia" w:ascii="宋体" w:hAnsi="宋体" w:cs="宋体"/>
          <w:b/>
          <w:bCs/>
          <w:szCs w:val="21"/>
        </w:rPr>
        <w:t>警示值或危急值</w:t>
      </w:r>
    </w:p>
    <w:p w14:paraId="42FD99FE">
      <w:pPr>
        <w:numPr>
          <w:ilvl w:val="0"/>
          <w:numId w:val="0"/>
        </w:numPr>
        <w:autoSpaceDE w:val="0"/>
        <w:autoSpaceDN w:val="0"/>
        <w:adjustRightInd w:val="0"/>
        <w:spacing w:after="125" w:line="360" w:lineRule="auto"/>
        <w:ind w:firstLine="420" w:firstLineChars="0"/>
        <w:jc w:val="left"/>
        <w:rPr>
          <w:rFonts w:hint="eastAsia" w:ascii="宋体" w:hAnsi="宋体" w:cs="宋体"/>
          <w:b/>
          <w:bCs/>
          <w:szCs w:val="21"/>
        </w:rPr>
      </w:pPr>
      <w:r>
        <w:rPr>
          <w:rFonts w:hint="eastAsia" w:ascii="宋体" w:hAnsi="宋体" w:eastAsia="宋体" w:cs="宋体"/>
          <w:color w:val="000000"/>
          <w:kern w:val="0"/>
          <w:sz w:val="21"/>
          <w:szCs w:val="21"/>
          <w:lang w:bidi="ar"/>
        </w:rPr>
        <w:t>本项目不设危急值</w:t>
      </w:r>
    </w:p>
    <w:p w14:paraId="5C21DB7E">
      <w:pPr>
        <w:autoSpaceDE w:val="0"/>
        <w:autoSpaceDN w:val="0"/>
        <w:adjustRightInd w:val="0"/>
        <w:spacing w:after="125" w:line="360" w:lineRule="auto"/>
        <w:jc w:val="left"/>
        <w:rPr>
          <w:rFonts w:hint="eastAsia" w:ascii="宋体" w:hAnsi="宋体" w:cs="黑体"/>
          <w:b/>
          <w:bCs/>
          <w:color w:val="000000"/>
          <w:szCs w:val="21"/>
        </w:rPr>
      </w:pPr>
      <w:r>
        <w:rPr>
          <w:rFonts w:ascii="宋体" w:hAnsi="宋体" w:cs="黑体"/>
          <w:b/>
          <w:bCs/>
          <w:color w:val="000000"/>
          <w:szCs w:val="21"/>
        </w:rPr>
        <w:t>1</w:t>
      </w:r>
      <w:r>
        <w:rPr>
          <w:rFonts w:hint="eastAsia" w:ascii="宋体" w:hAnsi="宋体" w:cs="黑体"/>
          <w:b/>
          <w:bCs/>
          <w:color w:val="000000"/>
          <w:szCs w:val="21"/>
        </w:rPr>
        <w:t>9</w:t>
      </w:r>
      <w:r>
        <w:rPr>
          <w:rFonts w:ascii="宋体" w:hAnsi="宋体" w:cs="黑体"/>
          <w:b/>
          <w:bCs/>
          <w:color w:val="000000"/>
          <w:szCs w:val="21"/>
        </w:rPr>
        <w:t xml:space="preserve"> </w:t>
      </w:r>
      <w:r>
        <w:rPr>
          <w:rFonts w:hint="eastAsia" w:ascii="宋体" w:hAnsi="宋体" w:cs="黑体"/>
          <w:b/>
          <w:bCs/>
          <w:color w:val="000000"/>
          <w:szCs w:val="21"/>
        </w:rPr>
        <w:t>临床解释</w:t>
      </w:r>
    </w:p>
    <w:p w14:paraId="3F7942CC">
      <w:pPr>
        <w:autoSpaceDE w:val="0"/>
        <w:autoSpaceDN w:val="0"/>
        <w:adjustRightInd w:val="0"/>
        <w:spacing w:after="125" w:line="360" w:lineRule="auto"/>
        <w:ind w:firstLine="420" w:firstLineChars="0"/>
        <w:jc w:val="left"/>
        <w:rPr>
          <w:rFonts w:hint="eastAsia" w:ascii="宋体" w:hAnsi="宋体" w:eastAsia="宋体" w:cs="宋体"/>
          <w:kern w:val="0"/>
          <w:sz w:val="21"/>
          <w:szCs w:val="21"/>
        </w:rPr>
      </w:pPr>
      <w:r>
        <w:rPr>
          <w:rFonts w:hint="eastAsia" w:ascii="宋体" w:hAnsi="宋体" w:eastAsia="宋体" w:cs="宋体"/>
          <w:kern w:val="0"/>
          <w:sz w:val="21"/>
          <w:szCs w:val="21"/>
        </w:rPr>
        <w:t>铁蛋白是一种高分子量含铁蛋白，作为贮铁复合物在体内发挥作用。每个铁蛋白分子都由一个球形蛋白壳组成，分子量大约为460,000道尔顿，此球形蛋白壳由24个含铁量不等的亚基构成，这24个亚基构成一个氧化铁-磷酸盐核心。目前已经证明，铁蛋白分子在完全饱和的情况下，按重量计算可能含铁量在20%以上。正常成人体内的铁大约有25%以各种形式贮存在人体中。大约三分之二的铁在人体中以铁蛋白的形式存在。剩余的贮存铁都包含在不溶性的血铁质中，更多的是以变性铁蛋白的形式存在。高灵敏度血清铁蛋白检测方法显著提高了检测铁缺乏和铁过量的能力。由于铁缺乏症先于贫血出现，因此检测贮铁消耗状态对控制营养性贫血非常重要。一直以来对贮存铁的临床评估依赖于对血清铁、总铁结合力(TIBC)以及转铁蛋白百分比(血清铁和TIBC的比率)的检测或直接对骨髓的检测。对骨髓中的可染色铁的评估是评价体内铁贮存的传统方法。组织活检提供了一个判断铁缺乏症的灵敏指标，但这是一种主观且半定量的方法。低浓度血红蛋白是贫血最易解读的指征，但仅在缺铁性贫血后期，才能检测到循环血中血红蛋白的明显下降。血清铁、TIBC和转铁蛋白饱和度无法区分铁缺乏症是否是一种进展性疾病。同样，这些检测也受到日间偏差的影响，无法区分贮铁耗尽和网状内皮组织铁释放缺陷(例如，慢性贫血)。最新文献表明，铁蛋白检测为诊断早期铁缺乏症提供了一种灵敏度、特异性和可靠性更高的方法。对于正在接受口服铁治疗的患者，血清铁蛋白的检测对于监控贮存铁的再累积和决定何时停止治疗有重要意义。在慢性炎性疾病、感染以及慢性肾衰中，相对于贮存铁，血清铁蛋白水平有一个不成比例的增长。血清铁蛋白和体内贮存铁之间仍然存在相关性，但是血清铁蛋白水平偏高</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文献中大量的研究证明，血清铁蛋白检测在与其他参数联用的情况下，对地中海贫血、铁粒幼红细胞性贫血中的体内铁过量的比率和程度的判断，以及对接受螯合铁制剂治疗患者的反应监测都很有必要。尤其是将血清铁蛋白水平和平均红细胞容积(MCV)的结合，已经能够高度准确地鉴别诊断铁缺乏症、β-地中海贫血以及正常个体。</w:t>
      </w:r>
    </w:p>
    <w:p w14:paraId="7DFDA5D3">
      <w:pPr>
        <w:autoSpaceDE w:val="0"/>
        <w:autoSpaceDN w:val="0"/>
        <w:adjustRightInd w:val="0"/>
        <w:spacing w:after="125" w:line="360" w:lineRule="auto"/>
        <w:jc w:val="left"/>
        <w:rPr>
          <w:rFonts w:hint="eastAsia" w:ascii="宋体" w:hAnsi="宋体" w:cs="黑体"/>
          <w:b/>
          <w:bCs/>
          <w:color w:val="000000"/>
          <w:szCs w:val="21"/>
        </w:rPr>
      </w:pPr>
      <w:r>
        <w:rPr>
          <w:rFonts w:hint="eastAsia" w:ascii="宋体" w:hAnsi="宋体" w:cs="黑体"/>
          <w:b/>
          <w:bCs/>
          <w:color w:val="000000"/>
          <w:szCs w:val="21"/>
        </w:rPr>
        <w:t>20</w:t>
      </w:r>
      <w:r>
        <w:rPr>
          <w:rFonts w:ascii="宋体" w:hAnsi="宋体" w:cs="黑体"/>
          <w:b/>
          <w:bCs/>
          <w:color w:val="000000"/>
          <w:szCs w:val="21"/>
        </w:rPr>
        <w:t xml:space="preserve"> </w:t>
      </w:r>
      <w:r>
        <w:rPr>
          <w:rFonts w:hint="eastAsia" w:ascii="宋体" w:hAnsi="宋体" w:cs="黑体"/>
          <w:b/>
          <w:bCs/>
          <w:color w:val="000000"/>
          <w:szCs w:val="21"/>
        </w:rPr>
        <w:t>潜在变异来源</w:t>
      </w:r>
    </w:p>
    <w:p w14:paraId="629FBDEE">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20.1接受小鼠单克隆抗体制剂诊断或治疗的患者，其样本中可能含有</w:t>
      </w:r>
      <w:r>
        <w:rPr>
          <w:rFonts w:hint="default" w:ascii="宋体" w:hAnsi="宋体" w:eastAsia="宋体" w:cs="宋体"/>
          <w:kern w:val="0"/>
          <w:sz w:val="21"/>
          <w:szCs w:val="21"/>
          <w:lang w:val="en-US" w:eastAsia="zh-CN"/>
        </w:rPr>
        <w:t>人抗小鼠抗体(HAMA)。使用含有小鼠单克隆抗体的试剂盒检测此类样本时，检测值可能会假性升高或降低</w:t>
      </w:r>
      <w:r>
        <w:rPr>
          <w:rFonts w:hint="eastAsia" w:ascii="宋体" w:hAnsi="宋体" w:eastAsia="宋体" w:cs="宋体"/>
          <w:kern w:val="0"/>
          <w:sz w:val="21"/>
          <w:szCs w:val="21"/>
          <w:lang w:val="en-US" w:eastAsia="zh-CN"/>
        </w:rPr>
        <w:t>。</w:t>
      </w:r>
      <w:r>
        <w:rPr>
          <w:rFonts w:hint="default" w:ascii="宋体" w:hAnsi="宋体" w:eastAsia="宋体" w:cs="宋体"/>
          <w:kern w:val="0"/>
          <w:sz w:val="21"/>
          <w:szCs w:val="21"/>
          <w:lang w:val="en-US" w:eastAsia="zh-CN"/>
        </w:rPr>
        <w:t xml:space="preserve">可能需要其他信息用于诊断。 </w:t>
      </w:r>
    </w:p>
    <w:p w14:paraId="18DCB275">
      <w:pPr>
        <w:keepNext w:val="0"/>
        <w:keepLines w:val="0"/>
        <w:pageBreakBefore w:val="0"/>
        <w:numPr>
          <w:ilvl w:val="0"/>
          <w:numId w:val="0"/>
        </w:numPr>
        <w:kinsoku/>
        <w:wordWrap/>
        <w:overflowPunct/>
        <w:topLinePunct w:val="0"/>
        <w:bidi w:val="0"/>
        <w:snapToGrid w:val="0"/>
        <w:spacing w:line="360" w:lineRule="auto"/>
        <w:ind w:firstLine="420" w:firstLineChars="0"/>
        <w:textAlignment w:val="auto"/>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20.2</w:t>
      </w:r>
      <w:r>
        <w:rPr>
          <w:rFonts w:hint="default" w:ascii="宋体" w:hAnsi="宋体" w:eastAsia="宋体" w:cs="宋体"/>
          <w:kern w:val="0"/>
          <w:sz w:val="21"/>
          <w:szCs w:val="21"/>
          <w:lang w:val="en-US" w:eastAsia="zh-CN"/>
        </w:rPr>
        <w:t>人血清中的异嗜性抗体可与试剂中的免疫球蛋白发生反应，干扰体外免疫测定。经常与动物或动物血清产品接触的患者，其样本可能容易受到此干扰，并使检测结果出现异常值。可能需要其 他信息用于诊断。</w:t>
      </w:r>
    </w:p>
    <w:p w14:paraId="4A819F01">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1</w:t>
      </w:r>
      <w:r>
        <w:rPr>
          <w:rFonts w:ascii="宋体" w:hAnsi="宋体" w:cs="黑体"/>
          <w:b/>
          <w:bCs/>
          <w:color w:val="auto"/>
          <w:szCs w:val="21"/>
        </w:rPr>
        <w:t xml:space="preserve"> </w:t>
      </w:r>
      <w:r>
        <w:rPr>
          <w:rFonts w:hint="eastAsia" w:ascii="宋体" w:hAnsi="宋体" w:cs="黑体"/>
          <w:b/>
          <w:bCs/>
          <w:color w:val="auto"/>
          <w:szCs w:val="21"/>
        </w:rPr>
        <w:t>检验结果报告方式</w:t>
      </w:r>
      <w:r>
        <w:rPr>
          <w:rFonts w:ascii="宋体" w:hAnsi="宋体" w:cs="黑体"/>
          <w:b/>
          <w:bCs/>
          <w:color w:val="auto"/>
          <w:szCs w:val="21"/>
        </w:rPr>
        <w:t xml:space="preserve"> </w:t>
      </w:r>
    </w:p>
    <w:tbl>
      <w:tblPr>
        <w:tblStyle w:val="13"/>
        <w:tblW w:w="5446" w:type="dxa"/>
        <w:tblInd w:w="115" w:type="dxa"/>
        <w:tblBorders>
          <w:top w:val="none" w:color="auto" w:sz="6" w:space="0"/>
          <w:left w:val="none" w:color="auto" w:sz="6" w:space="0"/>
          <w:bottom w:val="none" w:color="auto" w:sz="6" w:space="0"/>
          <w:right w:val="none" w:color="auto" w:sz="6" w:space="0"/>
          <w:insideH w:val="none" w:color="auto" w:sz="0" w:space="0"/>
          <w:insideV w:val="none" w:color="auto" w:sz="0" w:space="0"/>
        </w:tblBorders>
        <w:tblLayout w:type="fixed"/>
        <w:tblCellMar>
          <w:top w:w="0" w:type="dxa"/>
          <w:left w:w="108" w:type="dxa"/>
          <w:bottom w:w="0" w:type="dxa"/>
          <w:right w:w="108" w:type="dxa"/>
        </w:tblCellMar>
      </w:tblPr>
      <w:tblGrid>
        <w:gridCol w:w="1209"/>
        <w:gridCol w:w="862"/>
        <w:gridCol w:w="638"/>
        <w:gridCol w:w="2737"/>
      </w:tblGrid>
      <w:tr w14:paraId="6F939071">
        <w:trPr>
          <w:trHeight w:val="423" w:hRule="atLeast"/>
        </w:trPr>
        <w:tc>
          <w:tcPr>
            <w:tcW w:w="1209" w:type="dxa"/>
            <w:tcBorders>
              <w:top w:val="single" w:color="000000" w:sz="4" w:space="0"/>
              <w:left w:val="single" w:color="000000" w:sz="4" w:space="0"/>
              <w:bottom w:val="single" w:color="000000" w:sz="4" w:space="0"/>
              <w:right w:val="single" w:color="000000" w:sz="4" w:space="0"/>
            </w:tcBorders>
            <w:vAlign w:val="bottom"/>
          </w:tcPr>
          <w:p w14:paraId="69BDBD5B">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检验项目</w:t>
            </w:r>
          </w:p>
        </w:tc>
        <w:tc>
          <w:tcPr>
            <w:tcW w:w="862" w:type="dxa"/>
            <w:tcBorders>
              <w:top w:val="single" w:color="000000" w:sz="4" w:space="0"/>
              <w:left w:val="single" w:color="000000" w:sz="4" w:space="0"/>
              <w:bottom w:val="single" w:color="000000" w:sz="4" w:space="0"/>
              <w:right w:val="single" w:color="000000" w:sz="4" w:space="0"/>
            </w:tcBorders>
            <w:vAlign w:val="bottom"/>
          </w:tcPr>
          <w:p w14:paraId="2F163DA7">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单位</w:t>
            </w:r>
          </w:p>
        </w:tc>
        <w:tc>
          <w:tcPr>
            <w:tcW w:w="638" w:type="dxa"/>
            <w:tcBorders>
              <w:top w:val="single" w:color="000000" w:sz="4" w:space="0"/>
              <w:left w:val="single" w:color="000000" w:sz="4" w:space="0"/>
              <w:bottom w:val="single" w:color="000000" w:sz="4" w:space="0"/>
              <w:right w:val="single" w:color="000000" w:sz="4" w:space="0"/>
            </w:tcBorders>
            <w:vAlign w:val="bottom"/>
          </w:tcPr>
          <w:p w14:paraId="0347F13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结果</w:t>
            </w:r>
          </w:p>
        </w:tc>
        <w:tc>
          <w:tcPr>
            <w:tcW w:w="2737" w:type="dxa"/>
            <w:tcBorders>
              <w:top w:val="single" w:color="000000" w:sz="4" w:space="0"/>
              <w:left w:val="single" w:color="000000" w:sz="4" w:space="0"/>
              <w:bottom w:val="single" w:color="000000" w:sz="4" w:space="0"/>
              <w:right w:val="single" w:color="000000" w:sz="4" w:space="0"/>
            </w:tcBorders>
            <w:vAlign w:val="bottom"/>
          </w:tcPr>
          <w:p w14:paraId="79FE3BCC">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参考区间</w:t>
            </w:r>
          </w:p>
        </w:tc>
      </w:tr>
      <w:tr w14:paraId="4EFB7D46">
        <w:trPr>
          <w:trHeight w:val="410" w:hRule="atLeast"/>
        </w:trPr>
        <w:tc>
          <w:tcPr>
            <w:tcW w:w="1209" w:type="dxa"/>
            <w:tcBorders>
              <w:top w:val="single" w:color="000000" w:sz="4" w:space="0"/>
              <w:left w:val="single" w:color="000000" w:sz="4" w:space="0"/>
              <w:bottom w:val="single" w:color="000000" w:sz="4" w:space="0"/>
              <w:right w:val="single" w:color="000000" w:sz="4" w:space="0"/>
            </w:tcBorders>
            <w:vAlign w:val="bottom"/>
          </w:tcPr>
          <w:p w14:paraId="0B194494">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cs="宋体"/>
                <w:color w:val="000000"/>
                <w:sz w:val="18"/>
                <w:szCs w:val="18"/>
              </w:rPr>
              <w:t>总胆固醇</w:t>
            </w:r>
          </w:p>
        </w:tc>
        <w:tc>
          <w:tcPr>
            <w:tcW w:w="862" w:type="dxa"/>
            <w:tcBorders>
              <w:top w:val="single" w:color="000000" w:sz="4" w:space="0"/>
              <w:left w:val="single" w:color="000000" w:sz="4" w:space="0"/>
              <w:bottom w:val="single" w:color="000000" w:sz="4" w:space="0"/>
              <w:right w:val="single" w:color="000000" w:sz="4" w:space="0"/>
            </w:tcBorders>
            <w:vAlign w:val="bottom"/>
          </w:tcPr>
          <w:p w14:paraId="63688940">
            <w:pPr>
              <w:autoSpaceDE w:val="0"/>
              <w:autoSpaceDN w:val="0"/>
              <w:adjustRightInd w:val="0"/>
              <w:spacing w:line="360" w:lineRule="auto"/>
              <w:jc w:val="center"/>
              <w:rPr>
                <w:rFonts w:hint="eastAsia" w:ascii="宋体" w:hAnsi="宋体" w:cs="宋体"/>
                <w:color w:val="000000"/>
                <w:sz w:val="18"/>
                <w:szCs w:val="18"/>
              </w:rPr>
            </w:pPr>
            <w:r>
              <w:rPr>
                <w:rFonts w:hint="eastAsia" w:ascii="宋体" w:hAnsi="宋体" w:eastAsia="宋体" w:cs="宋体"/>
                <w:color w:val="000000"/>
                <w:sz w:val="18"/>
                <w:szCs w:val="18"/>
              </w:rPr>
              <w:t>ng/mL</w:t>
            </w:r>
            <w:r>
              <w:rPr>
                <w:rFonts w:ascii="宋体" w:hAnsi="宋体" w:cs="宋体"/>
                <w:color w:val="000000"/>
                <w:sz w:val="18"/>
                <w:szCs w:val="18"/>
              </w:rPr>
              <w:t xml:space="preserve"> </w:t>
            </w:r>
          </w:p>
        </w:tc>
        <w:tc>
          <w:tcPr>
            <w:tcW w:w="638" w:type="dxa"/>
            <w:tcBorders>
              <w:top w:val="single" w:color="000000" w:sz="4" w:space="0"/>
              <w:left w:val="single" w:color="000000" w:sz="4" w:space="0"/>
              <w:bottom w:val="single" w:color="000000" w:sz="4" w:space="0"/>
              <w:right w:val="single" w:color="000000" w:sz="4" w:space="0"/>
            </w:tcBorders>
            <w:vAlign w:val="bottom"/>
          </w:tcPr>
          <w:p w14:paraId="3C6651E3">
            <w:pPr>
              <w:autoSpaceDE w:val="0"/>
              <w:autoSpaceDN w:val="0"/>
              <w:adjustRightInd w:val="0"/>
              <w:spacing w:line="360" w:lineRule="auto"/>
              <w:jc w:val="center"/>
              <w:rPr>
                <w:rFonts w:hint="eastAsia" w:ascii="宋体" w:hAnsi="宋体" w:cs="宋体"/>
                <w:color w:val="000000"/>
                <w:sz w:val="18"/>
                <w:szCs w:val="18"/>
              </w:rPr>
            </w:pPr>
            <w:r>
              <w:rPr>
                <w:rFonts w:ascii="宋体" w:hAnsi="宋体" w:cs="宋体"/>
                <w:color w:val="000000"/>
                <w:sz w:val="18"/>
                <w:szCs w:val="18"/>
              </w:rPr>
              <w:t xml:space="preserve">4.8 </w:t>
            </w:r>
          </w:p>
        </w:tc>
        <w:tc>
          <w:tcPr>
            <w:tcW w:w="2737" w:type="dxa"/>
            <w:tcBorders>
              <w:top w:val="single" w:color="000000" w:sz="4" w:space="0"/>
              <w:left w:val="single" w:color="000000" w:sz="4" w:space="0"/>
              <w:bottom w:val="single" w:color="000000" w:sz="4" w:space="0"/>
              <w:right w:val="single" w:color="000000" w:sz="4" w:space="0"/>
            </w:tcBorders>
            <w:vAlign w:val="bottom"/>
          </w:tcPr>
          <w:p w14:paraId="3C60520C">
            <w:pPr>
              <w:keepNext w:val="0"/>
              <w:keepLines w:val="0"/>
              <w:pageBreakBefore w:val="0"/>
              <w:numPr>
                <w:ilvl w:val="0"/>
                <w:numId w:val="0"/>
              </w:numPr>
              <w:kinsoku/>
              <w:wordWrap/>
              <w:overflowPunct/>
              <w:topLinePunct w:val="0"/>
              <w:bidi w:val="0"/>
              <w:snapToGrid w:val="0"/>
              <w:spacing w:line="360" w:lineRule="auto"/>
              <w:ind w:firstLine="360" w:firstLineChars="200"/>
              <w:textAlignment w:val="auto"/>
              <w:rPr>
                <w:rFonts w:hint="eastAsia" w:ascii="宋体" w:hAnsi="宋体" w:cs="宋体"/>
                <w:color w:val="000000"/>
                <w:sz w:val="18"/>
                <w:szCs w:val="18"/>
              </w:rPr>
            </w:pPr>
            <w:r>
              <w:rPr>
                <w:rFonts w:hint="eastAsia" w:ascii="宋体" w:hAnsi="宋体" w:eastAsia="宋体" w:cs="宋体"/>
                <w:color w:val="000000"/>
                <w:sz w:val="18"/>
                <w:szCs w:val="18"/>
              </w:rPr>
              <w:t>0 - 2000 ng/mL</w:t>
            </w:r>
            <w:r>
              <w:rPr>
                <w:rFonts w:hint="eastAsia" w:ascii="宋体" w:hAnsi="宋体" w:eastAsia="宋体" w:cs="宋体"/>
                <w:color w:val="000000"/>
                <w:sz w:val="18"/>
                <w:szCs w:val="18"/>
                <w:lang w:eastAsia="zh-CN"/>
              </w:rPr>
              <w:t>。</w:t>
            </w:r>
            <w:r>
              <w:rPr>
                <w:rFonts w:ascii="宋体" w:hAnsi="宋体" w:cs="宋体"/>
                <w:color w:val="000000"/>
                <w:sz w:val="18"/>
                <w:szCs w:val="18"/>
              </w:rPr>
              <w:t xml:space="preserve"> </w:t>
            </w:r>
          </w:p>
        </w:tc>
      </w:tr>
      <w:tr w14:paraId="5E89E296">
        <w:trPr>
          <w:trHeight w:val="410" w:hRule="atLeast"/>
        </w:trPr>
        <w:tc>
          <w:tcPr>
            <w:tcW w:w="5446" w:type="dxa"/>
            <w:gridSpan w:val="4"/>
            <w:tcBorders>
              <w:top w:val="single" w:color="000000" w:sz="4" w:space="0"/>
              <w:left w:val="single" w:color="000000" w:sz="4" w:space="0"/>
              <w:bottom w:val="single" w:color="000000" w:sz="4" w:space="0"/>
              <w:right w:val="single" w:color="000000" w:sz="4" w:space="0"/>
            </w:tcBorders>
            <w:vAlign w:val="bottom"/>
          </w:tcPr>
          <w:p w14:paraId="2101D660">
            <w:pPr>
              <w:autoSpaceDE w:val="0"/>
              <w:autoSpaceDN w:val="0"/>
              <w:adjustRightInd w:val="0"/>
              <w:spacing w:line="360" w:lineRule="auto"/>
              <w:jc w:val="left"/>
              <w:rPr>
                <w:rFonts w:hint="eastAsia" w:ascii="宋体" w:hAnsi="宋体" w:cs="宋体"/>
                <w:color w:val="000000"/>
                <w:sz w:val="18"/>
                <w:szCs w:val="18"/>
              </w:rPr>
            </w:pPr>
            <w:r>
              <w:rPr>
                <w:rFonts w:hint="eastAsia" w:ascii="宋体" w:hAnsi="宋体" w:cs="宋体"/>
                <w:color w:val="000000"/>
                <w:sz w:val="18"/>
                <w:szCs w:val="18"/>
              </w:rPr>
              <w:t>备注：</w:t>
            </w:r>
          </w:p>
        </w:tc>
      </w:tr>
    </w:tbl>
    <w:p w14:paraId="7360221F">
      <w:pPr>
        <w:numPr>
          <w:ilvl w:val="0"/>
          <w:numId w:val="0"/>
        </w:numPr>
        <w:autoSpaceDE w:val="0"/>
        <w:autoSpaceDN w:val="0"/>
        <w:adjustRightInd w:val="0"/>
        <w:spacing w:line="360" w:lineRule="auto"/>
        <w:jc w:val="left"/>
        <w:rPr>
          <w:rFonts w:hint="eastAsia"/>
          <w:color w:val="auto"/>
          <w:lang w:val="en-US" w:eastAsia="zh-CN"/>
        </w:rPr>
      </w:pPr>
      <w:r>
        <w:rPr>
          <w:rFonts w:ascii="宋体" w:hAnsi="宋体" w:cs="黑体"/>
          <w:b/>
          <w:bCs/>
          <w:color w:val="auto"/>
          <w:szCs w:val="21"/>
        </w:rPr>
        <w:t>2</w:t>
      </w:r>
      <w:r>
        <w:rPr>
          <w:rFonts w:hint="eastAsia" w:ascii="宋体" w:hAnsi="宋体" w:cs="黑体"/>
          <w:b/>
          <w:bCs/>
          <w:color w:val="auto"/>
          <w:szCs w:val="21"/>
        </w:rPr>
        <w:t>2</w:t>
      </w:r>
      <w:r>
        <w:rPr>
          <w:rFonts w:ascii="宋体" w:hAnsi="宋体" w:cs="黑体"/>
          <w:b/>
          <w:bCs/>
          <w:color w:val="auto"/>
          <w:szCs w:val="21"/>
        </w:rPr>
        <w:t xml:space="preserve"> </w:t>
      </w:r>
      <w:r>
        <w:rPr>
          <w:rFonts w:hint="eastAsia" w:ascii="宋体" w:hAnsi="宋体" w:cs="黑体"/>
          <w:b/>
          <w:bCs/>
          <w:color w:val="auto"/>
          <w:szCs w:val="21"/>
        </w:rPr>
        <w:t>参考文献</w:t>
      </w:r>
    </w:p>
    <w:p w14:paraId="7968F87A">
      <w:pPr>
        <w:pStyle w:val="37"/>
        <w:spacing w:line="360" w:lineRule="auto"/>
        <w:ind w:firstLine="420" w:firstLineChars="0"/>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eastAsiaTheme="minorEastAsia" w:cstheme="minorEastAsia"/>
          <w:kern w:val="2"/>
          <w:sz w:val="21"/>
          <w:szCs w:val="21"/>
          <w:lang w:val="en-US" w:eastAsia="zh-CN" w:bidi="ar-SA"/>
        </w:rPr>
        <w:t>22.1.ARCHITECTAlinityi系统操作手册</w:t>
      </w:r>
    </w:p>
    <w:p w14:paraId="0C7132E2">
      <w:pPr>
        <w:pStyle w:val="12"/>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kern w:val="2"/>
          <w:sz w:val="21"/>
          <w:szCs w:val="21"/>
          <w:lang w:val="en-US" w:eastAsia="zh-CN" w:bidi="ar-SA"/>
        </w:rPr>
        <w:t>22.</w:t>
      </w:r>
      <w:r>
        <w:rPr>
          <w:rFonts w:hint="default" w:asciiTheme="minorEastAsia" w:hAnsiTheme="minorEastAsia" w:eastAsiaTheme="minorEastAsia" w:cstheme="minorEastAsia"/>
          <w:kern w:val="2"/>
          <w:sz w:val="21"/>
          <w:szCs w:val="21"/>
          <w:lang w:val="en-US" w:eastAsia="zh-CN" w:bidi="ar-SA"/>
        </w:rPr>
        <w:t>2</w:t>
      </w:r>
      <w:r>
        <w:rPr>
          <w:rFonts w:hint="eastAsia" w:asciiTheme="minorEastAsia" w:hAnsiTheme="minorEastAsia" w:eastAsiaTheme="minorEastAsia" w:cstheme="minorEastAsia"/>
          <w:sz w:val="21"/>
          <w:szCs w:val="21"/>
        </w:rPr>
        <w:t>ARCHITECTAlinityi全自动化学发光免疫分析仪操作说明书</w:t>
      </w:r>
    </w:p>
    <w:p w14:paraId="7D3049AE">
      <w:pPr>
        <w:pStyle w:val="12"/>
        <w:rPr>
          <w:rFonts w:hint="default"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en-US" w:eastAsia="zh-CN"/>
        </w:rPr>
        <w:t>寇丽筠、陈宏础主编，临床基础检验</w:t>
      </w:r>
    </w:p>
    <w:p w14:paraId="537C0C62">
      <w:pPr>
        <w:autoSpaceDE w:val="0"/>
        <w:autoSpaceDN w:val="0"/>
        <w:adjustRightInd w:val="0"/>
        <w:spacing w:after="125" w:line="360" w:lineRule="auto"/>
        <w:ind w:firstLine="420" w:firstLineChars="200"/>
        <w:jc w:val="left"/>
        <w:rPr>
          <w:rFonts w:hint="eastAsia" w:asciiTheme="minorEastAsia" w:hAnsiTheme="minorEastAsia" w:eastAsiaTheme="minorEastAsia" w:cstheme="minorEastAsia"/>
          <w:color w:val="000000"/>
          <w:sz w:val="21"/>
          <w:szCs w:val="21"/>
          <w:lang w:val="en-US" w:eastAsia="zh-CN"/>
        </w:rPr>
      </w:pPr>
      <w:r>
        <w:rPr>
          <w:rFonts w:hint="eastAsia" w:asciiTheme="minorEastAsia" w:hAnsiTheme="minorEastAsia" w:eastAsiaTheme="minorEastAsia" w:cstheme="minorEastAsia"/>
          <w:sz w:val="21"/>
          <w:szCs w:val="21"/>
          <w:lang w:val="en-US" w:eastAsia="zh-CN"/>
        </w:rPr>
        <w:t>22.</w:t>
      </w:r>
      <w:r>
        <w:rPr>
          <w:rFonts w:hint="default"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lang w:val="en-US" w:eastAsia="zh-CN"/>
        </w:rPr>
        <w:t>尚红</w:t>
      </w:r>
      <w:r>
        <w:rPr>
          <w:rFonts w:hint="default"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kern w:val="2"/>
          <w:sz w:val="21"/>
          <w:szCs w:val="21"/>
          <w:lang w:val="en-US" w:eastAsia="zh-CN" w:bidi="ar-SA"/>
        </w:rPr>
        <w:t>王毓三申</w:t>
      </w:r>
      <w:r>
        <w:rPr>
          <w:rFonts w:hint="default" w:asciiTheme="minorEastAsia" w:hAnsiTheme="minorEastAsia" w:eastAsiaTheme="minorEastAsia" w:cstheme="minorEastAsia"/>
          <w:kern w:val="2"/>
          <w:sz w:val="21"/>
          <w:szCs w:val="21"/>
          <w:lang w:val="en-US" w:eastAsia="zh-CN" w:bidi="ar-SA"/>
        </w:rPr>
        <w:t>.</w:t>
      </w:r>
      <w:r>
        <w:rPr>
          <w:rFonts w:hint="eastAsia" w:asciiTheme="minorEastAsia" w:hAnsiTheme="minorEastAsia" w:eastAsiaTheme="minorEastAsia" w:cstheme="minorEastAsia"/>
          <w:kern w:val="2"/>
          <w:sz w:val="21"/>
          <w:szCs w:val="21"/>
          <w:lang w:val="en-US" w:eastAsia="zh-CN" w:bidi="ar-SA"/>
        </w:rPr>
        <w:t>子瑜.全国临床检验操作规程[M].第4版.北京:人民卫生出版社,2015</w:t>
      </w:r>
    </w:p>
    <w:p w14:paraId="0C91E9AF">
      <w:pPr>
        <w:autoSpaceDE w:val="0"/>
        <w:autoSpaceDN w:val="0"/>
        <w:adjustRightInd w:val="0"/>
        <w:spacing w:after="125" w:line="360" w:lineRule="auto"/>
        <w:jc w:val="left"/>
        <w:rPr>
          <w:rFonts w:hint="eastAsia" w:ascii="宋体" w:hAnsi="宋体" w:cs="黑体"/>
          <w:b/>
          <w:bCs/>
          <w:color w:val="auto"/>
          <w:szCs w:val="21"/>
        </w:rPr>
      </w:pPr>
      <w:r>
        <w:rPr>
          <w:rFonts w:ascii="宋体" w:hAnsi="宋体" w:cs="黑体"/>
          <w:b/>
          <w:bCs/>
          <w:color w:val="auto"/>
          <w:szCs w:val="21"/>
        </w:rPr>
        <w:t>2</w:t>
      </w:r>
      <w:r>
        <w:rPr>
          <w:rFonts w:hint="eastAsia" w:ascii="宋体" w:hAnsi="宋体" w:cs="黑体"/>
          <w:b/>
          <w:bCs/>
          <w:color w:val="auto"/>
          <w:szCs w:val="21"/>
        </w:rPr>
        <w:t>3</w:t>
      </w:r>
      <w:r>
        <w:rPr>
          <w:rFonts w:ascii="宋体" w:hAnsi="宋体" w:cs="黑体"/>
          <w:b/>
          <w:bCs/>
          <w:color w:val="auto"/>
          <w:szCs w:val="21"/>
        </w:rPr>
        <w:t xml:space="preserve"> </w:t>
      </w:r>
      <w:r>
        <w:rPr>
          <w:rFonts w:hint="eastAsia" w:ascii="宋体" w:hAnsi="宋体" w:cs="黑体"/>
          <w:b/>
          <w:bCs/>
          <w:color w:val="auto"/>
          <w:szCs w:val="21"/>
        </w:rPr>
        <w:t>附件或附录</w:t>
      </w:r>
    </w:p>
    <w:p w14:paraId="4B52682A">
      <w:pPr>
        <w:numPr>
          <w:ilvl w:val="0"/>
          <w:numId w:val="4"/>
        </w:numPr>
        <w:autoSpaceDE w:val="0"/>
        <w:autoSpaceDN w:val="0"/>
        <w:adjustRightInd w:val="0"/>
        <w:spacing w:line="360" w:lineRule="auto"/>
        <w:jc w:val="left"/>
        <w:rPr>
          <w:rFonts w:hint="eastAsia" w:ascii="宋体" w:hAnsi="宋体" w:cs="宋体"/>
          <w:color w:val="FF0000"/>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.1</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szCs w:val="21"/>
        </w:rPr>
        <w:t>编号</w:t>
      </w:r>
      <w:r>
        <w:rPr>
          <w:rFonts w:ascii="宋体" w:hAnsi="宋体" w:cstheme="minorBidi"/>
          <w:szCs w:val="21"/>
          <w:highlight w:val="red"/>
        </w:rPr>
        <w:t>XXX</w:t>
      </w:r>
      <w:r>
        <w:rPr>
          <w:rFonts w:ascii="宋体" w:hAnsi="宋体" w:cstheme="minorBidi"/>
          <w:szCs w:val="21"/>
        </w:rPr>
        <w:t>的</w:t>
      </w:r>
      <w:r>
        <w:rPr>
          <w:rFonts w:hint="eastAsia" w:ascii="宋体" w:hAnsi="宋体"/>
          <w:sz w:val="21"/>
          <w:szCs w:val="21"/>
        </w:rPr>
        <w:t>《</w:t>
      </w:r>
      <w:r>
        <w:rPr>
          <w:rFonts w:hint="eastAsia" w:ascii="宋体" w:hAnsi="宋体"/>
          <w:color w:val="000000"/>
          <w:sz w:val="21"/>
          <w:szCs w:val="21"/>
        </w:rPr>
        <w:t>ARCHITECTAlinityi全自动化学发光免疫</w:t>
      </w:r>
      <w:r>
        <w:rPr>
          <w:rFonts w:hint="eastAsia" w:ascii="宋体" w:hAnsi="宋体"/>
          <w:sz w:val="21"/>
          <w:szCs w:val="21"/>
        </w:rPr>
        <w:t>分析仪校准程序》</w:t>
      </w:r>
      <w:r>
        <w:rPr>
          <w:rFonts w:ascii="宋体" w:hAnsi="宋体" w:cstheme="minorBidi"/>
          <w:szCs w:val="21"/>
        </w:rPr>
        <w:t>。</w:t>
      </w:r>
    </w:p>
    <w:p w14:paraId="2522C718">
      <w:pPr>
        <w:numPr>
          <w:ilvl w:val="0"/>
          <w:numId w:val="4"/>
        </w:numPr>
        <w:autoSpaceDE w:val="0"/>
        <w:autoSpaceDN w:val="0"/>
        <w:adjustRightInd w:val="0"/>
        <w:spacing w:line="360" w:lineRule="auto"/>
        <w:jc w:val="both"/>
        <w:rPr>
          <w:rFonts w:hint="eastAsia" w:ascii="宋体" w:hAnsi="宋体" w:cs="宋体"/>
          <w:color w:val="auto"/>
          <w:szCs w:val="21"/>
        </w:rPr>
      </w:pPr>
      <w:r>
        <w:rPr>
          <w:rFonts w:hint="eastAsia" w:ascii="宋体" w:hAnsi="宋体" w:cs="黑体"/>
          <w:color w:val="auto"/>
          <w:szCs w:val="21"/>
          <w:lang w:val="en-US" w:eastAsia="zh-CN"/>
        </w:rPr>
        <w:t>23</w:t>
      </w:r>
      <w:r>
        <w:rPr>
          <w:rFonts w:ascii="宋体" w:hAnsi="宋体" w:cs="黑体"/>
          <w:color w:val="auto"/>
          <w:szCs w:val="21"/>
        </w:rPr>
        <w:t>.2</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eastAsia="宋体" w:cs="宋体"/>
          <w:color w:val="auto"/>
          <w:sz w:val="21"/>
          <w:szCs w:val="21"/>
        </w:rPr>
        <w:t>《ARCHITECT</w:t>
      </w:r>
      <w:r>
        <w:rPr>
          <w:rFonts w:hint="eastAsia" w:ascii="宋体" w:hAnsi="宋体" w:eastAsia="宋体" w:cs="宋体"/>
          <w:color w:val="auto"/>
          <w:sz w:val="21"/>
          <w:szCs w:val="21"/>
          <w:lang w:val="en-US" w:eastAsia="zh-CN"/>
        </w:rPr>
        <w:t xml:space="preserve"> </w:t>
      </w:r>
      <w:r>
        <w:rPr>
          <w:rFonts w:hint="eastAsia" w:ascii="宋体" w:hAnsi="宋体" w:eastAsia="宋体" w:cs="宋体"/>
          <w:color w:val="auto"/>
          <w:kern w:val="0"/>
          <w:sz w:val="21"/>
          <w:szCs w:val="21"/>
          <w:lang w:val="en-US" w:eastAsia="zh-CN" w:bidi="ar"/>
        </w:rPr>
        <w:t>Alinity i</w:t>
      </w:r>
      <w:r>
        <w:rPr>
          <w:rFonts w:hint="eastAsia" w:ascii="宋体" w:hAnsi="宋体" w:eastAsia="宋体" w:cs="宋体"/>
          <w:color w:val="auto"/>
          <w:sz w:val="21"/>
          <w:szCs w:val="21"/>
        </w:rPr>
        <w:t>微粒子化学发光免疫分析仪质控程序》</w:t>
      </w:r>
      <w:r>
        <w:rPr>
          <w:rFonts w:hint="eastAsia" w:ascii="宋体" w:hAnsi="宋体" w:cs="宋体"/>
          <w:color w:val="auto"/>
          <w:szCs w:val="21"/>
        </w:rPr>
        <w:t>。</w:t>
      </w:r>
    </w:p>
    <w:p w14:paraId="7D048D74">
      <w:pPr>
        <w:numPr>
          <w:ilvl w:val="0"/>
          <w:numId w:val="4"/>
        </w:numPr>
        <w:autoSpaceDE w:val="0"/>
        <w:autoSpaceDN w:val="0"/>
        <w:adjustRightInd w:val="0"/>
        <w:spacing w:line="360" w:lineRule="auto"/>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.3</w:t>
      </w:r>
      <w:r>
        <w:rPr>
          <w:rFonts w:hint="eastAsia" w:ascii="宋体" w:hAnsi="宋体" w:cs="黑体"/>
          <w:color w:val="auto"/>
          <w:szCs w:val="21"/>
          <w:lang w:val="en-US" w:eastAsia="zh-CN"/>
        </w:rPr>
        <w:t>安亭</w:t>
      </w:r>
      <w:r>
        <w:rPr>
          <w:rFonts w:hint="eastAsia" w:ascii="宋体" w:hAnsi="宋体" w:cs="宋体"/>
          <w:color w:val="auto"/>
          <w:szCs w:val="21"/>
        </w:rPr>
        <w:t>医院检验科</w:t>
      </w:r>
      <w:r>
        <w:rPr>
          <w:rFonts w:ascii="宋体" w:hAnsi="宋体" w:cstheme="minorBidi"/>
          <w:color w:val="auto"/>
          <w:szCs w:val="21"/>
        </w:rPr>
        <w:t>编号</w:t>
      </w:r>
      <w:r>
        <w:rPr>
          <w:rFonts w:ascii="宋体" w:hAnsi="宋体" w:cs="宋体"/>
          <w:color w:val="auto"/>
          <w:szCs w:val="21"/>
          <w:highlight w:val="red"/>
        </w:rPr>
        <w:t>XXX</w:t>
      </w:r>
      <w:r>
        <w:rPr>
          <w:rFonts w:hint="eastAsia" w:ascii="宋体" w:hAnsi="宋体"/>
        </w:rPr>
        <w:t>《</w:t>
      </w:r>
      <w:r>
        <w:rPr>
          <w:rFonts w:hint="eastAsia" w:ascii="宋体" w:hAnsi="宋体"/>
          <w:lang w:val="en-GB"/>
        </w:rPr>
        <w:t>Alinity</w:t>
      </w:r>
      <w:r>
        <w:rPr>
          <w:rFonts w:hint="eastAsia" w:ascii="宋体" w:hAnsi="宋体"/>
          <w:lang w:val="en-US" w:eastAsia="zh-CN"/>
        </w:rPr>
        <w:t xml:space="preserve"> </w:t>
      </w:r>
      <w:r>
        <w:rPr>
          <w:rFonts w:hint="eastAsia" w:ascii="宋体" w:hAnsi="宋体"/>
          <w:lang w:val="en-GB"/>
        </w:rPr>
        <w:t>i全自动免疫分析仪标准操作规程</w:t>
      </w:r>
      <w:r>
        <w:rPr>
          <w:rFonts w:hint="eastAsia" w:ascii="宋体" w:hAnsi="宋体"/>
        </w:rPr>
        <w:t>》</w:t>
      </w:r>
      <w:r>
        <w:rPr>
          <w:rFonts w:hint="eastAsia" w:ascii="宋体" w:hAnsi="宋体" w:cs="宋体"/>
          <w:color w:val="auto"/>
          <w:szCs w:val="21"/>
        </w:rPr>
        <w:t>。</w:t>
      </w:r>
    </w:p>
    <w:p w14:paraId="63BC366B">
      <w:pPr>
        <w:keepNext w:val="0"/>
        <w:keepLines w:val="0"/>
        <w:widowControl/>
        <w:suppressLineNumbers w:val="0"/>
        <w:ind w:firstLine="420" w:firstLineChars="0"/>
        <w:jc w:val="both"/>
        <w:rPr>
          <w:rFonts w:hint="eastAsia" w:ascii="宋体" w:hAnsi="宋体" w:cs="宋体"/>
          <w:color w:val="auto"/>
          <w:szCs w:val="21"/>
        </w:rPr>
      </w:pPr>
      <w:r>
        <w:rPr>
          <w:rFonts w:ascii="宋体" w:hAnsi="宋体" w:cs="黑体"/>
          <w:color w:val="auto"/>
          <w:szCs w:val="21"/>
        </w:rPr>
        <w:t>2</w:t>
      </w:r>
      <w:r>
        <w:rPr>
          <w:rFonts w:hint="eastAsia" w:ascii="宋体" w:hAnsi="宋体" w:cs="黑体"/>
          <w:color w:val="auto"/>
          <w:szCs w:val="21"/>
          <w:lang w:val="en-US" w:eastAsia="zh-CN"/>
        </w:rPr>
        <w:t>3</w:t>
      </w:r>
      <w:r>
        <w:rPr>
          <w:rFonts w:ascii="宋体" w:hAnsi="宋体" w:cs="黑体"/>
          <w:color w:val="auto"/>
          <w:szCs w:val="21"/>
        </w:rPr>
        <w:t xml:space="preserve">.4 </w:t>
      </w:r>
      <w:r>
        <w:rPr>
          <w:rFonts w:hint="eastAsia" w:ascii="宋体" w:hAnsi="宋体" w:cs="宋体"/>
          <w:color w:val="auto"/>
          <w:szCs w:val="21"/>
          <w:lang w:val="en-US" w:eastAsia="zh-CN"/>
        </w:rPr>
        <w:t xml:space="preserve">ARCHITECT i </w:t>
      </w:r>
      <w:r>
        <w:rPr>
          <w:rFonts w:hint="default" w:ascii="宋体" w:hAnsi="宋体" w:cs="宋体"/>
          <w:color w:val="auto"/>
          <w:szCs w:val="21"/>
          <w:lang w:val="en-US" w:eastAsia="zh-CN"/>
        </w:rPr>
        <w:t>系统， Alinity i分析仪</w:t>
      </w:r>
      <w:r>
        <w:rPr>
          <w:rFonts w:hint="eastAsia" w:ascii="宋体" w:hAnsi="宋体" w:cs="宋体"/>
          <w:color w:val="auto"/>
          <w:lang w:val="en-US" w:eastAsia="zh-CN"/>
        </w:rPr>
        <w:t>铁蛋白</w:t>
      </w:r>
      <w:r>
        <w:rPr>
          <w:rFonts w:hint="eastAsia" w:ascii="宋体" w:hAnsi="宋体" w:cs="宋体"/>
          <w:color w:val="auto"/>
          <w:szCs w:val="21"/>
        </w:rPr>
        <w:t>测定试剂盒使用说明书</w:t>
      </w:r>
      <w:r>
        <w:rPr>
          <w:rFonts w:hint="eastAsia" w:ascii="宋体" w:hAnsi="宋体" w:cs="宋体"/>
          <w:color w:val="auto"/>
          <w:szCs w:val="21"/>
          <w:highlight w:val="none"/>
        </w:rPr>
        <w:t>。</w:t>
      </w:r>
    </w:p>
    <w:p w14:paraId="6F149E7E">
      <w:pPr>
        <w:bidi w:val="0"/>
        <w:rPr>
          <w:rFonts w:hint="eastAsia" w:ascii="Times New Roman" w:hAnsi="Times New Roman" w:eastAsia="宋体" w:cs="Times New Roman"/>
          <w:color w:val="FF0000"/>
          <w:kern w:val="2"/>
          <w:sz w:val="21"/>
          <w:lang w:val="en-US" w:eastAsia="zh-CN" w:bidi="ar-SA"/>
        </w:rPr>
      </w:pPr>
    </w:p>
    <w:p w14:paraId="45DD0A59">
      <w:pPr>
        <w:bidi w:val="0"/>
        <w:rPr>
          <w:rFonts w:hint="eastAsia"/>
          <w:color w:val="FF0000"/>
          <w:lang w:val="en-US" w:eastAsia="zh-CN"/>
        </w:rPr>
      </w:pPr>
    </w:p>
    <w:p w14:paraId="11D023A2">
      <w:pPr>
        <w:tabs>
          <w:tab w:val="left" w:pos="6625"/>
        </w:tabs>
        <w:bidi w:val="0"/>
        <w:jc w:val="left"/>
        <w:rPr>
          <w:rFonts w:hint="eastAsia"/>
          <w:lang w:val="en-US" w:eastAsia="zh-CN"/>
        </w:rPr>
      </w:pPr>
      <w:r>
        <w:rPr>
          <w:rFonts w:hint="eastAsia"/>
          <w:color w:val="FF0000"/>
          <w:lang w:val="en-US" w:eastAsia="zh-CN"/>
        </w:rPr>
        <w:tab/>
      </w:r>
    </w:p>
    <w:sectPr>
      <w:headerReference r:id="rId3" w:type="default"/>
      <w:pgSz w:w="11906" w:h="16838"/>
      <w:pgMar w:top="2268" w:right="1418" w:bottom="1134" w:left="1418" w:header="794"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A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Batang">
    <w:altName w:val="Apple SD Gothic Neo"/>
    <w:panose1 w:val="02030600000101010101"/>
    <w:charset w:val="81"/>
    <w:family w:val="roman"/>
    <w:pitch w:val="default"/>
    <w:sig w:usb0="00000000" w:usb1="00000000" w:usb2="00000030" w:usb3="00000000" w:csb0="0008009F" w:csb1="0000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Apple SD Gothic Neo">
    <w:panose1 w:val="02000300000000000000"/>
    <w:charset w:val="81"/>
    <w:family w:val="auto"/>
    <w:pitch w:val="default"/>
    <w:sig w:usb0="00000203" w:usb1="21D12C10" w:usb2="00000010" w:usb3="00000000" w:csb0="00280005" w:csb1="00000000"/>
  </w:font>
  <w:font w:name="汉仪中等线KW">
    <w:panose1 w:val="01010104010101010101"/>
    <w:charset w:val="86"/>
    <w:family w:val="auto"/>
    <w:pitch w:val="default"/>
    <w:sig w:usb0="800002BF" w:usb1="004F7CFA"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3"/>
      <w:tblW w:w="5005" w:type="pct"/>
      <w:tblInd w:w="0"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autofit"/>
      <w:tblCellMar>
        <w:top w:w="0" w:type="dxa"/>
        <w:left w:w="0" w:type="dxa"/>
        <w:bottom w:w="0" w:type="dxa"/>
        <w:right w:w="0" w:type="dxa"/>
      </w:tblCellMar>
    </w:tblPr>
    <w:tblGrid>
      <w:gridCol w:w="1438"/>
      <w:gridCol w:w="2260"/>
      <w:gridCol w:w="2407"/>
      <w:gridCol w:w="2984"/>
    </w:tblGrid>
    <w:tr w14:paraId="22DCD41B">
      <w:trPr>
        <w:trHeight w:val="301" w:hRule="exact"/>
      </w:trPr>
      <w:tc>
        <w:tcPr>
          <w:tcW w:w="791" w:type="pct"/>
          <w:vMerge w:val="restart"/>
          <w:tcBorders>
            <w:top w:val="single" w:color="000000" w:sz="4" w:space="0"/>
            <w:left w:val="single" w:color="000000" w:sz="4" w:space="0"/>
            <w:bottom w:val="single" w:color="000000" w:sz="4" w:space="0"/>
            <w:right w:val="single" w:color="000000" w:sz="6" w:space="0"/>
          </w:tcBorders>
          <w:shd w:val="clear" w:color="auto" w:fill="FFFFFF"/>
          <w:vAlign w:val="center"/>
        </w:tcPr>
        <w:p w14:paraId="2678065E">
          <w:pPr>
            <w:rPr>
              <w:szCs w:val="24"/>
            </w:rPr>
          </w:pPr>
          <w:r>
            <w:drawing>
              <wp:inline distT="0" distB="0" distL="0" distR="0">
                <wp:extent cx="880745" cy="855345"/>
                <wp:effectExtent l="0" t="0" r="825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82491" cy="857413"/>
                        </a:xfrm>
                        <a:prstGeom prst="rect">
                          <a:avLst/>
                        </a:prstGeom>
                        <a:noFill/>
                        <a:ln>
                          <a:noFill/>
                        </a:ln>
                        <a:effectLst/>
                      </pic:spPr>
                    </pic:pic>
                  </a:graphicData>
                </a:graphic>
              </wp:inline>
            </w:drawing>
          </w:r>
        </w:p>
        <w:p w14:paraId="484579D5">
          <w:pPr>
            <w:autoSpaceDE w:val="0"/>
            <w:autoSpaceDN w:val="0"/>
            <w:adjustRightInd w:val="0"/>
            <w:spacing w:line="697" w:lineRule="exact"/>
            <w:rPr>
              <w:szCs w:val="24"/>
            </w:rPr>
          </w:pPr>
        </w:p>
      </w:tc>
      <w:tc>
        <w:tcPr>
          <w:tcW w:w="4208" w:type="pct"/>
          <w:gridSpan w:val="3"/>
          <w:tcBorders>
            <w:top w:val="single" w:color="000000" w:sz="4" w:space="0"/>
            <w:left w:val="single" w:color="000000" w:sz="6" w:space="0"/>
            <w:bottom w:val="single" w:color="000000" w:sz="6" w:space="0"/>
            <w:right w:val="single" w:color="000000" w:sz="4" w:space="0"/>
          </w:tcBorders>
          <w:shd w:val="clear" w:color="auto" w:fill="FFFFFF"/>
        </w:tcPr>
        <w:p w14:paraId="398D6BA7">
          <w:pPr>
            <w:tabs>
              <w:tab w:val="left" w:pos="2972"/>
            </w:tabs>
            <w:autoSpaceDE w:val="0"/>
            <w:autoSpaceDN w:val="0"/>
            <w:adjustRightInd w:val="0"/>
            <w:spacing w:line="244" w:lineRule="exact"/>
            <w:jc w:val="center"/>
            <w:rPr>
              <w:rFonts w:hint="eastAsia" w:ascii="黑体" w:hAnsi="黑体" w:eastAsia="黑体" w:cs="宋体"/>
              <w:color w:val="000000"/>
              <w:w w:val="99"/>
              <w:kern w:val="0"/>
              <w:sz w:val="28"/>
              <w:szCs w:val="28"/>
            </w:rPr>
          </w:pPr>
          <w:r>
            <w:rPr>
              <w:rFonts w:hint="eastAsia" w:ascii="黑体" w:hAnsi="黑体" w:eastAsia="黑体" w:cs="宋体"/>
              <w:color w:val="000000"/>
              <w:w w:val="99"/>
              <w:kern w:val="0"/>
              <w:sz w:val="24"/>
              <w:szCs w:val="24"/>
            </w:rPr>
            <w:t>嘉定区安亭医院生化免疫组作业指导书</w:t>
          </w:r>
        </w:p>
      </w:tc>
    </w:tr>
    <w:tr w14:paraId="16E87EBD">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78F0058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01136DE3">
          <w:pPr>
            <w:tabs>
              <w:tab w:val="left" w:pos="4163"/>
            </w:tabs>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文件标题：</w:t>
          </w:r>
          <w:r>
            <w:rPr>
              <w:rFonts w:hint="eastAsia" w:ascii="宋体" w:hAnsi="宋体" w:cs="Arial"/>
              <w:bCs/>
              <w:sz w:val="20"/>
              <w:szCs w:val="20"/>
              <w:lang w:val="en-US" w:eastAsia="zh-CN"/>
            </w:rPr>
            <w:t>铁蛋白</w:t>
          </w:r>
          <w:r>
            <w:rPr>
              <w:rFonts w:hint="eastAsia" w:ascii="宋体" w:hAnsi="宋体" w:cs="宋体"/>
            </w:rPr>
            <w:t>标准操作规程</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0BA05098">
          <w:pPr>
            <w:autoSpaceDE w:val="0"/>
            <w:autoSpaceDN w:val="0"/>
            <w:adjustRightInd w:val="0"/>
            <w:spacing w:line="245" w:lineRule="exact"/>
            <w:ind w:left="107"/>
            <w:jc w:val="left"/>
            <w:rPr>
              <w:rFonts w:hint="eastAsia" w:ascii="宋体" w:hAnsi="Calibri" w:cs="宋体"/>
              <w:color w:val="000000"/>
              <w:w w:val="99"/>
              <w:kern w:val="0"/>
              <w:szCs w:val="21"/>
            </w:rPr>
          </w:pPr>
          <w:r>
            <w:rPr>
              <w:rFonts w:hint="eastAsia" w:ascii="宋体" w:hAnsi="Calibri" w:cs="宋体"/>
              <w:color w:val="000000"/>
              <w:w w:val="99"/>
              <w:kern w:val="0"/>
              <w:szCs w:val="21"/>
            </w:rPr>
            <w:t>发行部门：</w:t>
          </w:r>
          <w:r>
            <w:rPr>
              <w:rFonts w:hint="eastAsia" w:ascii="宋体" w:hAnsi="Calibri" w:cs="宋体"/>
              <w:color w:val="000000"/>
              <w:w w:val="99"/>
              <w:kern w:val="0"/>
              <w:szCs w:val="21"/>
              <w:lang w:val="en-US" w:eastAsia="zh-CN"/>
            </w:rPr>
            <w:t>生化免疫</w:t>
          </w:r>
          <w:r>
            <w:rPr>
              <w:rFonts w:hint="eastAsia" w:ascii="宋体" w:hAnsi="Calibri" w:cs="宋体"/>
              <w:color w:val="000000"/>
              <w:w w:val="99"/>
              <w:kern w:val="0"/>
              <w:szCs w:val="21"/>
            </w:rPr>
            <w:t>组</w:t>
          </w:r>
        </w:p>
      </w:tc>
    </w:tr>
    <w:tr w14:paraId="6B629F50">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21775459">
          <w:pPr>
            <w:widowControl/>
            <w:jc w:val="left"/>
            <w:rPr>
              <w:szCs w:val="24"/>
            </w:rPr>
          </w:pPr>
        </w:p>
      </w:tc>
      <w:tc>
        <w:tcPr>
          <w:tcW w:w="2567" w:type="pct"/>
          <w:gridSpan w:val="2"/>
          <w:tcBorders>
            <w:top w:val="single" w:color="000000" w:sz="6" w:space="0"/>
            <w:left w:val="single" w:color="000000" w:sz="6" w:space="0"/>
            <w:bottom w:val="single" w:color="000000" w:sz="6" w:space="0"/>
            <w:right w:val="single" w:color="000000" w:sz="6" w:space="0"/>
          </w:tcBorders>
          <w:shd w:val="clear" w:color="auto" w:fill="FFFFFF"/>
        </w:tcPr>
        <w:p w14:paraId="1085CE4F">
          <w:pPr>
            <w:autoSpaceDE w:val="0"/>
            <w:autoSpaceDN w:val="0"/>
            <w:adjustRightInd w:val="0"/>
            <w:spacing w:line="243" w:lineRule="exact"/>
            <w:ind w:left="108"/>
            <w:jc w:val="left"/>
            <w:rPr>
              <w:rFonts w:hint="eastAsia" w:ascii="宋体" w:hAnsi="Calibri" w:eastAsia="宋体" w:cs="宋体"/>
              <w:color w:val="000000"/>
              <w:w w:val="99"/>
              <w:kern w:val="0"/>
              <w:szCs w:val="21"/>
              <w:lang w:eastAsia="zh-CN"/>
            </w:rPr>
          </w:pPr>
          <w:r>
            <w:rPr>
              <w:rFonts w:hint="eastAsia" w:ascii="宋体" w:hAnsi="Calibri" w:cs="宋体"/>
              <w:color w:val="000000"/>
              <w:w w:val="99"/>
              <w:kern w:val="0"/>
              <w:szCs w:val="21"/>
            </w:rPr>
            <w:t>文件编号：ATYY-JYK-</w:t>
          </w:r>
          <w:r>
            <w:rPr>
              <w:rFonts w:hint="default" w:ascii="宋体" w:hAnsi="Calibri" w:cs="宋体"/>
              <w:color w:val="000000"/>
              <w:w w:val="99"/>
              <w:kern w:val="0"/>
              <w:szCs w:val="21"/>
              <w:lang w:val="en-US" w:eastAsia="zh-CN"/>
            </w:rPr>
            <w:t>SM</w:t>
          </w:r>
          <w:r>
            <w:rPr>
              <w:rFonts w:hint="eastAsia" w:ascii="宋体" w:hAnsi="Calibri" w:cs="宋体"/>
              <w:color w:val="000000"/>
              <w:w w:val="99"/>
              <w:kern w:val="0"/>
              <w:szCs w:val="21"/>
            </w:rPr>
            <w:t>-</w:t>
          </w:r>
          <w:r>
            <w:rPr>
              <w:rFonts w:hint="eastAsia" w:ascii="宋体" w:hAnsi="Calibri" w:cs="宋体"/>
              <w:color w:val="000000"/>
              <w:w w:val="99"/>
              <w:kern w:val="0"/>
              <w:szCs w:val="21"/>
              <w:lang w:val="en-US" w:eastAsia="zh-CN"/>
            </w:rPr>
            <w:t>SOP-</w:t>
          </w:r>
          <w:r>
            <w:rPr>
              <w:rFonts w:hint="eastAsia" w:ascii="宋体" w:hAnsi="Calibri" w:cs="宋体"/>
              <w:color w:val="000000"/>
              <w:w w:val="99"/>
              <w:kern w:val="0"/>
              <w:szCs w:val="21"/>
            </w:rPr>
            <w:t>X</w:t>
          </w:r>
          <w:r>
            <w:rPr>
              <w:rFonts w:hint="eastAsia" w:ascii="宋体" w:hAnsi="Calibri" w:cs="宋体"/>
              <w:color w:val="000000"/>
              <w:w w:val="99"/>
              <w:kern w:val="0"/>
              <w:szCs w:val="21"/>
              <w:lang w:val="en-US" w:eastAsia="zh-CN"/>
            </w:rPr>
            <w:t>2</w:t>
          </w:r>
          <w:r>
            <w:rPr>
              <w:rFonts w:hint="eastAsia" w:ascii="宋体" w:hAnsi="Calibri" w:cs="宋体"/>
              <w:color w:val="000000"/>
              <w:w w:val="99"/>
              <w:kern w:val="0"/>
              <w:szCs w:val="21"/>
            </w:rPr>
            <w:t>0</w:t>
          </w:r>
          <w:r>
            <w:rPr>
              <w:rFonts w:hint="eastAsia" w:ascii="宋体" w:hAnsi="Calibri" w:cs="宋体"/>
              <w:color w:val="000000"/>
              <w:w w:val="99"/>
              <w:kern w:val="0"/>
              <w:szCs w:val="21"/>
              <w:lang w:val="en-US" w:eastAsia="zh-CN"/>
            </w:rPr>
            <w:t>2</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4D0EFC85">
          <w:pPr>
            <w:autoSpaceDE w:val="0"/>
            <w:autoSpaceDN w:val="0"/>
            <w:adjustRightInd w:val="0"/>
            <w:spacing w:line="243"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编 制 人：</w:t>
          </w:r>
          <w:r>
            <w:rPr>
              <w:rFonts w:hint="eastAsia" w:ascii="宋体" w:hAnsi="宋体" w:cs="宋体"/>
              <w:lang w:val="en-US" w:eastAsia="zh-CN"/>
            </w:rPr>
            <w:t>张湘豫</w:t>
          </w:r>
        </w:p>
      </w:tc>
    </w:tr>
    <w:tr w14:paraId="0C6381EA">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62D1990E">
          <w:pPr>
            <w:widowControl/>
            <w:jc w:val="left"/>
            <w:rPr>
              <w:szCs w:val="24"/>
            </w:rPr>
          </w:pPr>
        </w:p>
      </w:tc>
      <w:tc>
        <w:tcPr>
          <w:tcW w:w="1243" w:type="pct"/>
          <w:tcBorders>
            <w:top w:val="single" w:color="000000" w:sz="6" w:space="0"/>
            <w:left w:val="single" w:color="000000" w:sz="6" w:space="0"/>
            <w:bottom w:val="single" w:color="000000" w:sz="6" w:space="0"/>
            <w:right w:val="single" w:color="000000" w:sz="6" w:space="0"/>
          </w:tcBorders>
          <w:shd w:val="clear" w:color="auto" w:fill="FFFFFF"/>
        </w:tcPr>
        <w:p w14:paraId="26EF396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版本号：A</w:t>
          </w:r>
        </w:p>
      </w:tc>
      <w:tc>
        <w:tcPr>
          <w:tcW w:w="1323" w:type="pct"/>
          <w:tcBorders>
            <w:top w:val="single" w:color="000000" w:sz="6" w:space="0"/>
            <w:left w:val="single" w:color="000000" w:sz="6" w:space="0"/>
            <w:bottom w:val="single" w:color="000000" w:sz="6" w:space="0"/>
            <w:right w:val="single" w:color="000000" w:sz="6" w:space="0"/>
          </w:tcBorders>
          <w:shd w:val="clear" w:color="auto" w:fill="FFFFFF"/>
        </w:tcPr>
        <w:p w14:paraId="4C5C4797">
          <w:pPr>
            <w:autoSpaceDE w:val="0"/>
            <w:autoSpaceDN w:val="0"/>
            <w:adjustRightInd w:val="0"/>
            <w:spacing w:line="244"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修订号：0</w:t>
          </w:r>
        </w:p>
      </w:tc>
      <w:tc>
        <w:tcPr>
          <w:tcW w:w="1640" w:type="pct"/>
          <w:tcBorders>
            <w:top w:val="single" w:color="000000" w:sz="6" w:space="0"/>
            <w:left w:val="single" w:color="000000" w:sz="6" w:space="0"/>
            <w:bottom w:val="single" w:color="000000" w:sz="6" w:space="0"/>
            <w:right w:val="single" w:color="000000" w:sz="4" w:space="0"/>
          </w:tcBorders>
          <w:shd w:val="clear" w:color="auto" w:fill="FFFFFF"/>
        </w:tcPr>
        <w:p w14:paraId="7DEEFB57">
          <w:pPr>
            <w:autoSpaceDE w:val="0"/>
            <w:autoSpaceDN w:val="0"/>
            <w:adjustRightInd w:val="0"/>
            <w:spacing w:line="244" w:lineRule="exact"/>
            <w:ind w:left="107"/>
            <w:jc w:val="left"/>
            <w:rPr>
              <w:rFonts w:hint="default" w:ascii="宋体" w:hAnsi="Calibri" w:eastAsia="宋体" w:cs="宋体"/>
              <w:color w:val="000000"/>
              <w:w w:val="99"/>
              <w:kern w:val="0"/>
              <w:szCs w:val="21"/>
              <w:lang w:val="en-US" w:eastAsia="zh-CN"/>
            </w:rPr>
          </w:pPr>
          <w:r>
            <w:rPr>
              <w:rFonts w:hint="eastAsia" w:ascii="宋体" w:hAnsi="Calibri" w:cs="宋体"/>
              <w:color w:val="000000"/>
              <w:w w:val="99"/>
              <w:kern w:val="0"/>
              <w:szCs w:val="21"/>
            </w:rPr>
            <w:t>审 核 人：</w:t>
          </w:r>
          <w:r>
            <w:rPr>
              <w:rFonts w:hint="eastAsia" w:ascii="宋体" w:hAnsi="宋体" w:cs="宋体"/>
            </w:rPr>
            <w:t>樊丽芳</w:t>
          </w:r>
        </w:p>
      </w:tc>
    </w:tr>
    <w:tr w14:paraId="7FEC66B8">
      <w:trPr>
        <w:trHeight w:val="301" w:hRule="exact"/>
      </w:trPr>
      <w:tc>
        <w:tcPr>
          <w:tcW w:w="791" w:type="pct"/>
          <w:vMerge w:val="continue"/>
          <w:tcBorders>
            <w:top w:val="single" w:color="000000" w:sz="4" w:space="0"/>
            <w:left w:val="single" w:color="000000" w:sz="4" w:space="0"/>
            <w:bottom w:val="single" w:color="000000" w:sz="4" w:space="0"/>
            <w:right w:val="single" w:color="000000" w:sz="6" w:space="0"/>
          </w:tcBorders>
          <w:vAlign w:val="center"/>
        </w:tcPr>
        <w:p w14:paraId="403F0F31">
          <w:pPr>
            <w:widowControl/>
            <w:jc w:val="left"/>
            <w:rPr>
              <w:szCs w:val="24"/>
            </w:rPr>
          </w:pPr>
        </w:p>
      </w:tc>
      <w:tc>
        <w:tcPr>
          <w:tcW w:w="1243" w:type="pct"/>
          <w:tcBorders>
            <w:top w:val="single" w:color="000000" w:sz="6" w:space="0"/>
            <w:left w:val="single" w:color="000000" w:sz="6" w:space="0"/>
            <w:bottom w:val="single" w:color="000000" w:sz="4" w:space="0"/>
            <w:right w:val="single" w:color="000000" w:sz="6" w:space="0"/>
          </w:tcBorders>
          <w:shd w:val="clear" w:color="auto" w:fill="FFFFFF"/>
        </w:tcPr>
        <w:p w14:paraId="6803DE3D">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页码：第</w:t>
          </w:r>
          <w:r>
            <w:rPr>
              <w:rFonts w:hint="eastAsia" w:ascii="宋体" w:hAnsi="Calibri" w:cs="宋体"/>
              <w:color w:val="000000"/>
              <w:w w:val="99"/>
              <w:kern w:val="0"/>
              <w:szCs w:val="21"/>
            </w:rPr>
            <w:fldChar w:fldCharType="begin"/>
          </w:r>
          <w:r>
            <w:rPr>
              <w:rFonts w:hint="eastAsia" w:ascii="宋体" w:hAnsi="Calibri" w:cs="宋体"/>
              <w:color w:val="000000"/>
              <w:w w:val="99"/>
              <w:kern w:val="0"/>
              <w:szCs w:val="21"/>
            </w:rPr>
            <w:instrText xml:space="preserve"> PAGE   \* MERGEFORMAT </w:instrText>
          </w:r>
          <w:r>
            <w:rPr>
              <w:rFonts w:hint="eastAsia" w:ascii="宋体" w:hAnsi="Calibri" w:cs="宋体"/>
              <w:color w:val="000000"/>
              <w:w w:val="99"/>
              <w:kern w:val="0"/>
              <w:szCs w:val="21"/>
            </w:rPr>
            <w:fldChar w:fldCharType="separate"/>
          </w:r>
          <w:r>
            <w:rPr>
              <w:rFonts w:ascii="宋体" w:hAnsi="Calibri" w:cs="宋体"/>
              <w:color w:val="000000"/>
              <w:w w:val="99"/>
              <w:kern w:val="0"/>
              <w:szCs w:val="21"/>
            </w:rPr>
            <w:t>1</w:t>
          </w:r>
          <w:r>
            <w:rPr>
              <w:rFonts w:hint="eastAsia" w:ascii="宋体" w:hAnsi="Calibri" w:cs="宋体"/>
              <w:color w:val="000000"/>
              <w:w w:val="99"/>
              <w:kern w:val="0"/>
              <w:szCs w:val="21"/>
            </w:rPr>
            <w:fldChar w:fldCharType="end"/>
          </w:r>
          <w:r>
            <w:rPr>
              <w:rFonts w:hint="eastAsia" w:ascii="宋体" w:hAnsi="Calibri" w:cs="宋体"/>
              <w:color w:val="000000"/>
              <w:w w:val="99"/>
              <w:kern w:val="0"/>
              <w:szCs w:val="21"/>
            </w:rPr>
            <w:t>页，共1页</w:t>
          </w:r>
        </w:p>
      </w:tc>
      <w:tc>
        <w:tcPr>
          <w:tcW w:w="1323" w:type="pct"/>
          <w:tcBorders>
            <w:top w:val="single" w:color="000000" w:sz="6" w:space="0"/>
            <w:left w:val="single" w:color="000000" w:sz="6" w:space="0"/>
            <w:bottom w:val="single" w:color="000000" w:sz="4" w:space="0"/>
            <w:right w:val="single" w:color="000000" w:sz="6" w:space="0"/>
          </w:tcBorders>
          <w:shd w:val="clear" w:color="auto" w:fill="FFFFFF"/>
        </w:tcPr>
        <w:p w14:paraId="11000438">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生效日期：2025.01.01</w:t>
          </w:r>
        </w:p>
      </w:tc>
      <w:tc>
        <w:tcPr>
          <w:tcW w:w="1640" w:type="pct"/>
          <w:tcBorders>
            <w:top w:val="single" w:color="000000" w:sz="6" w:space="0"/>
            <w:left w:val="single" w:color="000000" w:sz="6" w:space="0"/>
            <w:bottom w:val="single" w:color="000000" w:sz="4" w:space="0"/>
            <w:right w:val="single" w:color="000000" w:sz="4" w:space="0"/>
          </w:tcBorders>
          <w:shd w:val="clear" w:color="auto" w:fill="FFFFFF"/>
        </w:tcPr>
        <w:p w14:paraId="1A9F63FC">
          <w:pPr>
            <w:autoSpaceDE w:val="0"/>
            <w:autoSpaceDN w:val="0"/>
            <w:adjustRightInd w:val="0"/>
            <w:spacing w:line="245" w:lineRule="exact"/>
            <w:ind w:left="107"/>
            <w:jc w:val="left"/>
            <w:rPr>
              <w:rFonts w:ascii="宋体" w:hAnsi="Calibri" w:cs="宋体"/>
              <w:color w:val="000000"/>
              <w:w w:val="99"/>
              <w:kern w:val="0"/>
              <w:szCs w:val="21"/>
            </w:rPr>
          </w:pPr>
          <w:r>
            <w:rPr>
              <w:rFonts w:hint="eastAsia" w:ascii="宋体" w:hAnsi="Calibri" w:cs="宋体"/>
              <w:color w:val="000000"/>
              <w:w w:val="99"/>
              <w:kern w:val="0"/>
              <w:szCs w:val="21"/>
            </w:rPr>
            <w:t>批 准 人：</w:t>
          </w:r>
        </w:p>
      </w:tc>
    </w:tr>
  </w:tbl>
  <w:p w14:paraId="55B7D35C">
    <w:pPr>
      <w:pStyle w:val="1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8E8CBC"/>
    <w:multiLevelType w:val="multilevel"/>
    <w:tmpl w:val="8B8E8CBC"/>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B5ECC980"/>
    <w:multiLevelType w:val="multilevel"/>
    <w:tmpl w:val="B5ECC980"/>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CA3A43FD"/>
    <w:multiLevelType w:val="multilevel"/>
    <w:tmpl w:val="CA3A43FD"/>
    <w:lvl w:ilvl="0" w:tentative="0">
      <w:start w:val="1"/>
      <w:numFmt w:val="decimal"/>
      <w:lvlText w:val=""/>
      <w:lvlJc w:val="left"/>
    </w:lvl>
    <w:lvl w:ilvl="1" w:tentative="0">
      <w:start w:val="1"/>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6DC4AD01"/>
    <w:multiLevelType w:val="multilevel"/>
    <w:tmpl w:val="6DC4AD01"/>
    <w:lvl w:ilvl="0" w:tentative="0">
      <w:start w:val="1"/>
      <w:numFmt w:val="decimal"/>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Y2FlZTUzZGNlODkxMzEzY2EwMGJjOTkwOTc3ZjgifQ=="/>
  </w:docVars>
  <w:rsids>
    <w:rsidRoot w:val="00332EF4"/>
    <w:rsid w:val="00010BA1"/>
    <w:rsid w:val="0002060F"/>
    <w:rsid w:val="00027351"/>
    <w:rsid w:val="000304F9"/>
    <w:rsid w:val="00054100"/>
    <w:rsid w:val="00055A4E"/>
    <w:rsid w:val="0005647D"/>
    <w:rsid w:val="00060A36"/>
    <w:rsid w:val="000638A3"/>
    <w:rsid w:val="0006428C"/>
    <w:rsid w:val="00066B64"/>
    <w:rsid w:val="00070D12"/>
    <w:rsid w:val="000765C4"/>
    <w:rsid w:val="00084137"/>
    <w:rsid w:val="000844AF"/>
    <w:rsid w:val="0009430A"/>
    <w:rsid w:val="00096B17"/>
    <w:rsid w:val="000A2A12"/>
    <w:rsid w:val="000A2AC0"/>
    <w:rsid w:val="000A3D39"/>
    <w:rsid w:val="000B714F"/>
    <w:rsid w:val="000C0A43"/>
    <w:rsid w:val="000C37C4"/>
    <w:rsid w:val="000C663E"/>
    <w:rsid w:val="000D0686"/>
    <w:rsid w:val="000D29FC"/>
    <w:rsid w:val="000F1760"/>
    <w:rsid w:val="000F66AD"/>
    <w:rsid w:val="001149D7"/>
    <w:rsid w:val="001233D4"/>
    <w:rsid w:val="0012569D"/>
    <w:rsid w:val="00135890"/>
    <w:rsid w:val="001366B4"/>
    <w:rsid w:val="00143A77"/>
    <w:rsid w:val="00152BB2"/>
    <w:rsid w:val="0015354A"/>
    <w:rsid w:val="00154DD8"/>
    <w:rsid w:val="00157B6E"/>
    <w:rsid w:val="001622DB"/>
    <w:rsid w:val="00162B38"/>
    <w:rsid w:val="00170012"/>
    <w:rsid w:val="00182CF2"/>
    <w:rsid w:val="00185F71"/>
    <w:rsid w:val="00193014"/>
    <w:rsid w:val="00194018"/>
    <w:rsid w:val="001940AA"/>
    <w:rsid w:val="001A4E76"/>
    <w:rsid w:val="001B1328"/>
    <w:rsid w:val="001C7F44"/>
    <w:rsid w:val="001D3931"/>
    <w:rsid w:val="001D424D"/>
    <w:rsid w:val="001D4528"/>
    <w:rsid w:val="001D465E"/>
    <w:rsid w:val="001E11D5"/>
    <w:rsid w:val="001E2064"/>
    <w:rsid w:val="001F32ED"/>
    <w:rsid w:val="001F5834"/>
    <w:rsid w:val="00206751"/>
    <w:rsid w:val="00207CCB"/>
    <w:rsid w:val="00210BA1"/>
    <w:rsid w:val="00212D28"/>
    <w:rsid w:val="00220E25"/>
    <w:rsid w:val="0022298A"/>
    <w:rsid w:val="00222DA3"/>
    <w:rsid w:val="00230C79"/>
    <w:rsid w:val="0023404E"/>
    <w:rsid w:val="0023562B"/>
    <w:rsid w:val="00243811"/>
    <w:rsid w:val="00244015"/>
    <w:rsid w:val="00247B26"/>
    <w:rsid w:val="00252913"/>
    <w:rsid w:val="00252ADF"/>
    <w:rsid w:val="002538BD"/>
    <w:rsid w:val="00254B9E"/>
    <w:rsid w:val="002623D0"/>
    <w:rsid w:val="00262E19"/>
    <w:rsid w:val="00266AB4"/>
    <w:rsid w:val="00270C24"/>
    <w:rsid w:val="0027624E"/>
    <w:rsid w:val="002770F2"/>
    <w:rsid w:val="00286AC8"/>
    <w:rsid w:val="00290EBA"/>
    <w:rsid w:val="002951B4"/>
    <w:rsid w:val="0029527C"/>
    <w:rsid w:val="002A6574"/>
    <w:rsid w:val="002A7792"/>
    <w:rsid w:val="002B4897"/>
    <w:rsid w:val="002B6842"/>
    <w:rsid w:val="002C18EA"/>
    <w:rsid w:val="002C79F3"/>
    <w:rsid w:val="002E1083"/>
    <w:rsid w:val="002E5972"/>
    <w:rsid w:val="002E62E7"/>
    <w:rsid w:val="002F0D58"/>
    <w:rsid w:val="002F4DF3"/>
    <w:rsid w:val="002F6381"/>
    <w:rsid w:val="002F79EA"/>
    <w:rsid w:val="00306CCD"/>
    <w:rsid w:val="0031367E"/>
    <w:rsid w:val="00315BFA"/>
    <w:rsid w:val="003217BD"/>
    <w:rsid w:val="00323261"/>
    <w:rsid w:val="00326426"/>
    <w:rsid w:val="00326517"/>
    <w:rsid w:val="00332EF4"/>
    <w:rsid w:val="00333A2A"/>
    <w:rsid w:val="00335C01"/>
    <w:rsid w:val="00335F4F"/>
    <w:rsid w:val="003374AE"/>
    <w:rsid w:val="00340D38"/>
    <w:rsid w:val="00343130"/>
    <w:rsid w:val="003464BE"/>
    <w:rsid w:val="0035208B"/>
    <w:rsid w:val="003610F4"/>
    <w:rsid w:val="0036394E"/>
    <w:rsid w:val="00365782"/>
    <w:rsid w:val="003779E0"/>
    <w:rsid w:val="003813A7"/>
    <w:rsid w:val="00384940"/>
    <w:rsid w:val="003A06EC"/>
    <w:rsid w:val="003A1EC9"/>
    <w:rsid w:val="003A44FA"/>
    <w:rsid w:val="003A7F64"/>
    <w:rsid w:val="003B1369"/>
    <w:rsid w:val="003C6B2C"/>
    <w:rsid w:val="003E03C2"/>
    <w:rsid w:val="003E0508"/>
    <w:rsid w:val="003F03C3"/>
    <w:rsid w:val="003F3E3C"/>
    <w:rsid w:val="003F4B5A"/>
    <w:rsid w:val="00405380"/>
    <w:rsid w:val="004071AC"/>
    <w:rsid w:val="0042006D"/>
    <w:rsid w:val="00422F08"/>
    <w:rsid w:val="00426A42"/>
    <w:rsid w:val="00432223"/>
    <w:rsid w:val="00434280"/>
    <w:rsid w:val="00434BF1"/>
    <w:rsid w:val="00440130"/>
    <w:rsid w:val="00442DDA"/>
    <w:rsid w:val="0045015E"/>
    <w:rsid w:val="00452A85"/>
    <w:rsid w:val="00456A09"/>
    <w:rsid w:val="00456F42"/>
    <w:rsid w:val="00460591"/>
    <w:rsid w:val="00464941"/>
    <w:rsid w:val="004670A3"/>
    <w:rsid w:val="00483557"/>
    <w:rsid w:val="004875FF"/>
    <w:rsid w:val="00491683"/>
    <w:rsid w:val="00492398"/>
    <w:rsid w:val="00492A03"/>
    <w:rsid w:val="004959D7"/>
    <w:rsid w:val="004A0C3B"/>
    <w:rsid w:val="004A7209"/>
    <w:rsid w:val="004A7E46"/>
    <w:rsid w:val="004B1EA1"/>
    <w:rsid w:val="004B60CF"/>
    <w:rsid w:val="004C15A0"/>
    <w:rsid w:val="004D08FF"/>
    <w:rsid w:val="004D36C6"/>
    <w:rsid w:val="004D780E"/>
    <w:rsid w:val="004E0206"/>
    <w:rsid w:val="004E5CDF"/>
    <w:rsid w:val="0050006A"/>
    <w:rsid w:val="0051001A"/>
    <w:rsid w:val="00510D6E"/>
    <w:rsid w:val="00513669"/>
    <w:rsid w:val="00515078"/>
    <w:rsid w:val="0051572C"/>
    <w:rsid w:val="0051765C"/>
    <w:rsid w:val="005237FC"/>
    <w:rsid w:val="005305B0"/>
    <w:rsid w:val="00531B11"/>
    <w:rsid w:val="0053382A"/>
    <w:rsid w:val="005424CC"/>
    <w:rsid w:val="00550217"/>
    <w:rsid w:val="00553D0F"/>
    <w:rsid w:val="00553F2A"/>
    <w:rsid w:val="00555EA5"/>
    <w:rsid w:val="005616C2"/>
    <w:rsid w:val="00561F54"/>
    <w:rsid w:val="00563BE9"/>
    <w:rsid w:val="00564398"/>
    <w:rsid w:val="00567F37"/>
    <w:rsid w:val="00570CD8"/>
    <w:rsid w:val="00572897"/>
    <w:rsid w:val="00575440"/>
    <w:rsid w:val="0057547A"/>
    <w:rsid w:val="005767F4"/>
    <w:rsid w:val="005851CD"/>
    <w:rsid w:val="005924AB"/>
    <w:rsid w:val="005A2B78"/>
    <w:rsid w:val="005A3C40"/>
    <w:rsid w:val="005A7FC1"/>
    <w:rsid w:val="005B0B02"/>
    <w:rsid w:val="005B110B"/>
    <w:rsid w:val="005C42AE"/>
    <w:rsid w:val="005C6E3E"/>
    <w:rsid w:val="005D3D9C"/>
    <w:rsid w:val="005D3E69"/>
    <w:rsid w:val="005D6B6F"/>
    <w:rsid w:val="005E3BDD"/>
    <w:rsid w:val="005F1F67"/>
    <w:rsid w:val="00601960"/>
    <w:rsid w:val="00634B1A"/>
    <w:rsid w:val="00636FF2"/>
    <w:rsid w:val="00637890"/>
    <w:rsid w:val="00641814"/>
    <w:rsid w:val="00654311"/>
    <w:rsid w:val="00665BB9"/>
    <w:rsid w:val="00671F1B"/>
    <w:rsid w:val="00673ECE"/>
    <w:rsid w:val="0067437E"/>
    <w:rsid w:val="006745D9"/>
    <w:rsid w:val="006751B3"/>
    <w:rsid w:val="006801D2"/>
    <w:rsid w:val="006977D0"/>
    <w:rsid w:val="006A2D88"/>
    <w:rsid w:val="006A4505"/>
    <w:rsid w:val="006A7426"/>
    <w:rsid w:val="006B3702"/>
    <w:rsid w:val="006B3D22"/>
    <w:rsid w:val="006C1A82"/>
    <w:rsid w:val="006C2F1D"/>
    <w:rsid w:val="006C498F"/>
    <w:rsid w:val="006C7255"/>
    <w:rsid w:val="006D036F"/>
    <w:rsid w:val="006D3308"/>
    <w:rsid w:val="006E145D"/>
    <w:rsid w:val="006E1DB1"/>
    <w:rsid w:val="006E38E4"/>
    <w:rsid w:val="006F07FB"/>
    <w:rsid w:val="006F5A07"/>
    <w:rsid w:val="006F5E17"/>
    <w:rsid w:val="006F6E46"/>
    <w:rsid w:val="006F7C8C"/>
    <w:rsid w:val="00715870"/>
    <w:rsid w:val="00715D70"/>
    <w:rsid w:val="00716D52"/>
    <w:rsid w:val="00722870"/>
    <w:rsid w:val="00727432"/>
    <w:rsid w:val="00736302"/>
    <w:rsid w:val="0074066F"/>
    <w:rsid w:val="00747210"/>
    <w:rsid w:val="00750CF7"/>
    <w:rsid w:val="00770F1A"/>
    <w:rsid w:val="00775B17"/>
    <w:rsid w:val="00776379"/>
    <w:rsid w:val="00783FAD"/>
    <w:rsid w:val="00784B6C"/>
    <w:rsid w:val="0079725A"/>
    <w:rsid w:val="00797F8B"/>
    <w:rsid w:val="007A3043"/>
    <w:rsid w:val="007A3803"/>
    <w:rsid w:val="007A5A44"/>
    <w:rsid w:val="007A7D26"/>
    <w:rsid w:val="007B15F6"/>
    <w:rsid w:val="007B5940"/>
    <w:rsid w:val="007B628E"/>
    <w:rsid w:val="007B7616"/>
    <w:rsid w:val="007C294D"/>
    <w:rsid w:val="007D3381"/>
    <w:rsid w:val="007D338A"/>
    <w:rsid w:val="007D4F70"/>
    <w:rsid w:val="007E231B"/>
    <w:rsid w:val="007F1705"/>
    <w:rsid w:val="007F1B61"/>
    <w:rsid w:val="007F2679"/>
    <w:rsid w:val="007F4F9B"/>
    <w:rsid w:val="0080213C"/>
    <w:rsid w:val="008029EF"/>
    <w:rsid w:val="00805F0B"/>
    <w:rsid w:val="00810404"/>
    <w:rsid w:val="00811F4F"/>
    <w:rsid w:val="00812243"/>
    <w:rsid w:val="00814030"/>
    <w:rsid w:val="00820D0E"/>
    <w:rsid w:val="00827747"/>
    <w:rsid w:val="00837A10"/>
    <w:rsid w:val="008432E3"/>
    <w:rsid w:val="008536FA"/>
    <w:rsid w:val="00854930"/>
    <w:rsid w:val="008611CE"/>
    <w:rsid w:val="008805EF"/>
    <w:rsid w:val="008853CC"/>
    <w:rsid w:val="00892602"/>
    <w:rsid w:val="0089368D"/>
    <w:rsid w:val="0089594A"/>
    <w:rsid w:val="008A3895"/>
    <w:rsid w:val="008B4950"/>
    <w:rsid w:val="008B5229"/>
    <w:rsid w:val="008C3D8F"/>
    <w:rsid w:val="008C54F2"/>
    <w:rsid w:val="008D0843"/>
    <w:rsid w:val="008D7691"/>
    <w:rsid w:val="008E1498"/>
    <w:rsid w:val="008F1931"/>
    <w:rsid w:val="008F1AE1"/>
    <w:rsid w:val="008F7F7E"/>
    <w:rsid w:val="00901282"/>
    <w:rsid w:val="0090448C"/>
    <w:rsid w:val="00921AD6"/>
    <w:rsid w:val="009351DE"/>
    <w:rsid w:val="00940C35"/>
    <w:rsid w:val="00941B6B"/>
    <w:rsid w:val="009451F4"/>
    <w:rsid w:val="00945ECE"/>
    <w:rsid w:val="0094701E"/>
    <w:rsid w:val="0094709D"/>
    <w:rsid w:val="009500FB"/>
    <w:rsid w:val="00951B39"/>
    <w:rsid w:val="00956F4B"/>
    <w:rsid w:val="00962A9A"/>
    <w:rsid w:val="00965D8C"/>
    <w:rsid w:val="0096748F"/>
    <w:rsid w:val="00976E36"/>
    <w:rsid w:val="00981ACF"/>
    <w:rsid w:val="00983450"/>
    <w:rsid w:val="00990E40"/>
    <w:rsid w:val="0099182C"/>
    <w:rsid w:val="009A5C04"/>
    <w:rsid w:val="009A76E2"/>
    <w:rsid w:val="009B068E"/>
    <w:rsid w:val="009B1EC6"/>
    <w:rsid w:val="009C1390"/>
    <w:rsid w:val="009D516B"/>
    <w:rsid w:val="009D530D"/>
    <w:rsid w:val="009D655B"/>
    <w:rsid w:val="009E5646"/>
    <w:rsid w:val="009E56FD"/>
    <w:rsid w:val="00A07F1B"/>
    <w:rsid w:val="00A125D7"/>
    <w:rsid w:val="00A16D2C"/>
    <w:rsid w:val="00A27481"/>
    <w:rsid w:val="00A322EC"/>
    <w:rsid w:val="00A4088B"/>
    <w:rsid w:val="00A43D83"/>
    <w:rsid w:val="00A61D11"/>
    <w:rsid w:val="00A62074"/>
    <w:rsid w:val="00A65318"/>
    <w:rsid w:val="00A7742E"/>
    <w:rsid w:val="00A81292"/>
    <w:rsid w:val="00A82065"/>
    <w:rsid w:val="00A87A17"/>
    <w:rsid w:val="00A87B1F"/>
    <w:rsid w:val="00A90B32"/>
    <w:rsid w:val="00A91DB8"/>
    <w:rsid w:val="00AA0E90"/>
    <w:rsid w:val="00AA5DF0"/>
    <w:rsid w:val="00AA5E56"/>
    <w:rsid w:val="00AA6945"/>
    <w:rsid w:val="00AA6D76"/>
    <w:rsid w:val="00AB563F"/>
    <w:rsid w:val="00AC2A5A"/>
    <w:rsid w:val="00AD2A14"/>
    <w:rsid w:val="00AE0E2E"/>
    <w:rsid w:val="00B012EA"/>
    <w:rsid w:val="00B03F92"/>
    <w:rsid w:val="00B0406F"/>
    <w:rsid w:val="00B064D9"/>
    <w:rsid w:val="00B06D68"/>
    <w:rsid w:val="00B07D63"/>
    <w:rsid w:val="00B10DD8"/>
    <w:rsid w:val="00B31337"/>
    <w:rsid w:val="00B32806"/>
    <w:rsid w:val="00B34453"/>
    <w:rsid w:val="00B356B6"/>
    <w:rsid w:val="00B37302"/>
    <w:rsid w:val="00B41381"/>
    <w:rsid w:val="00B41F21"/>
    <w:rsid w:val="00B45DE5"/>
    <w:rsid w:val="00B47F9F"/>
    <w:rsid w:val="00B65A0E"/>
    <w:rsid w:val="00B707AA"/>
    <w:rsid w:val="00B7775D"/>
    <w:rsid w:val="00B77C1C"/>
    <w:rsid w:val="00B82437"/>
    <w:rsid w:val="00B90080"/>
    <w:rsid w:val="00B90BA3"/>
    <w:rsid w:val="00B91DD4"/>
    <w:rsid w:val="00B94B16"/>
    <w:rsid w:val="00BA06BB"/>
    <w:rsid w:val="00BA44B7"/>
    <w:rsid w:val="00BA4814"/>
    <w:rsid w:val="00BB2DF9"/>
    <w:rsid w:val="00BB3919"/>
    <w:rsid w:val="00BC31DB"/>
    <w:rsid w:val="00BC55FE"/>
    <w:rsid w:val="00BC755A"/>
    <w:rsid w:val="00BF3870"/>
    <w:rsid w:val="00C125C2"/>
    <w:rsid w:val="00C13AA7"/>
    <w:rsid w:val="00C17052"/>
    <w:rsid w:val="00C20CCC"/>
    <w:rsid w:val="00C22097"/>
    <w:rsid w:val="00C246F5"/>
    <w:rsid w:val="00C31C92"/>
    <w:rsid w:val="00C35AA5"/>
    <w:rsid w:val="00C3729C"/>
    <w:rsid w:val="00C4415B"/>
    <w:rsid w:val="00C45A9C"/>
    <w:rsid w:val="00C50976"/>
    <w:rsid w:val="00C56BF6"/>
    <w:rsid w:val="00C62374"/>
    <w:rsid w:val="00C65B76"/>
    <w:rsid w:val="00C87EF7"/>
    <w:rsid w:val="00C90BAF"/>
    <w:rsid w:val="00C933B3"/>
    <w:rsid w:val="00C97EE7"/>
    <w:rsid w:val="00CA7A94"/>
    <w:rsid w:val="00CB06DF"/>
    <w:rsid w:val="00CB1012"/>
    <w:rsid w:val="00CB177C"/>
    <w:rsid w:val="00CB3288"/>
    <w:rsid w:val="00CB438F"/>
    <w:rsid w:val="00CD1A9B"/>
    <w:rsid w:val="00CD2C31"/>
    <w:rsid w:val="00CD4D6C"/>
    <w:rsid w:val="00CE1A7D"/>
    <w:rsid w:val="00CE210C"/>
    <w:rsid w:val="00CE29AA"/>
    <w:rsid w:val="00CE4C4D"/>
    <w:rsid w:val="00CF0231"/>
    <w:rsid w:val="00CF6545"/>
    <w:rsid w:val="00D04786"/>
    <w:rsid w:val="00D04D4F"/>
    <w:rsid w:val="00D173E7"/>
    <w:rsid w:val="00D2244E"/>
    <w:rsid w:val="00D23B41"/>
    <w:rsid w:val="00D53348"/>
    <w:rsid w:val="00D55E9C"/>
    <w:rsid w:val="00D62AAD"/>
    <w:rsid w:val="00D64C1E"/>
    <w:rsid w:val="00D65263"/>
    <w:rsid w:val="00D67EFF"/>
    <w:rsid w:val="00D7367A"/>
    <w:rsid w:val="00D739D0"/>
    <w:rsid w:val="00D8242B"/>
    <w:rsid w:val="00D9131B"/>
    <w:rsid w:val="00D94A84"/>
    <w:rsid w:val="00D971E1"/>
    <w:rsid w:val="00DA0CD4"/>
    <w:rsid w:val="00DA2FA0"/>
    <w:rsid w:val="00DB7A53"/>
    <w:rsid w:val="00DD416A"/>
    <w:rsid w:val="00DE29BE"/>
    <w:rsid w:val="00DE4F37"/>
    <w:rsid w:val="00DF639D"/>
    <w:rsid w:val="00E019CC"/>
    <w:rsid w:val="00E2529B"/>
    <w:rsid w:val="00E25B74"/>
    <w:rsid w:val="00E27FFA"/>
    <w:rsid w:val="00E3199B"/>
    <w:rsid w:val="00E3307D"/>
    <w:rsid w:val="00E45EF6"/>
    <w:rsid w:val="00E467C9"/>
    <w:rsid w:val="00E507B6"/>
    <w:rsid w:val="00E613E6"/>
    <w:rsid w:val="00E63718"/>
    <w:rsid w:val="00E67233"/>
    <w:rsid w:val="00E867E2"/>
    <w:rsid w:val="00E91859"/>
    <w:rsid w:val="00E9592B"/>
    <w:rsid w:val="00EB33D5"/>
    <w:rsid w:val="00EB5BF9"/>
    <w:rsid w:val="00EB7443"/>
    <w:rsid w:val="00EB7CD5"/>
    <w:rsid w:val="00EC7C1F"/>
    <w:rsid w:val="00ED0849"/>
    <w:rsid w:val="00ED1A28"/>
    <w:rsid w:val="00ED760D"/>
    <w:rsid w:val="00EE58E2"/>
    <w:rsid w:val="00EE6B72"/>
    <w:rsid w:val="00EF068A"/>
    <w:rsid w:val="00EF159A"/>
    <w:rsid w:val="00EF1E5A"/>
    <w:rsid w:val="00EF21BF"/>
    <w:rsid w:val="00EF3B45"/>
    <w:rsid w:val="00EF477B"/>
    <w:rsid w:val="00EF76F3"/>
    <w:rsid w:val="00F00D26"/>
    <w:rsid w:val="00F067F2"/>
    <w:rsid w:val="00F13C5E"/>
    <w:rsid w:val="00F26ABA"/>
    <w:rsid w:val="00F27613"/>
    <w:rsid w:val="00F3318C"/>
    <w:rsid w:val="00F50067"/>
    <w:rsid w:val="00F50663"/>
    <w:rsid w:val="00F60AE3"/>
    <w:rsid w:val="00F62706"/>
    <w:rsid w:val="00F6406C"/>
    <w:rsid w:val="00F719AA"/>
    <w:rsid w:val="00F71FCE"/>
    <w:rsid w:val="00F76634"/>
    <w:rsid w:val="00F845F3"/>
    <w:rsid w:val="00F91A38"/>
    <w:rsid w:val="00FA3CC2"/>
    <w:rsid w:val="00FB20F6"/>
    <w:rsid w:val="00FC712B"/>
    <w:rsid w:val="00FD0945"/>
    <w:rsid w:val="00FD0B43"/>
    <w:rsid w:val="00FD17CF"/>
    <w:rsid w:val="00FD2B28"/>
    <w:rsid w:val="00FD3EFD"/>
    <w:rsid w:val="00FE0B04"/>
    <w:rsid w:val="00FE3F68"/>
    <w:rsid w:val="00FE7072"/>
    <w:rsid w:val="00FF406A"/>
    <w:rsid w:val="00FF7624"/>
    <w:rsid w:val="01351051"/>
    <w:rsid w:val="03702E31"/>
    <w:rsid w:val="0506001C"/>
    <w:rsid w:val="057264AC"/>
    <w:rsid w:val="05911A48"/>
    <w:rsid w:val="06E33268"/>
    <w:rsid w:val="082D6EDB"/>
    <w:rsid w:val="08A00739"/>
    <w:rsid w:val="093C039E"/>
    <w:rsid w:val="0A7B4BFE"/>
    <w:rsid w:val="0C8E16BE"/>
    <w:rsid w:val="0CBA160A"/>
    <w:rsid w:val="0E564BC0"/>
    <w:rsid w:val="0EE943A1"/>
    <w:rsid w:val="1136791A"/>
    <w:rsid w:val="140627C6"/>
    <w:rsid w:val="16590D6F"/>
    <w:rsid w:val="190B48E9"/>
    <w:rsid w:val="193A2207"/>
    <w:rsid w:val="198C31CC"/>
    <w:rsid w:val="1A196854"/>
    <w:rsid w:val="1B174AA3"/>
    <w:rsid w:val="1BC3D6E4"/>
    <w:rsid w:val="1BD01CDC"/>
    <w:rsid w:val="1BEA426E"/>
    <w:rsid w:val="1E2468E7"/>
    <w:rsid w:val="1E2C4B39"/>
    <w:rsid w:val="1F6E5258"/>
    <w:rsid w:val="21786DF7"/>
    <w:rsid w:val="21B66370"/>
    <w:rsid w:val="22C0487C"/>
    <w:rsid w:val="230322A3"/>
    <w:rsid w:val="24F81C8F"/>
    <w:rsid w:val="25BA40AE"/>
    <w:rsid w:val="267E3932"/>
    <w:rsid w:val="289B19CD"/>
    <w:rsid w:val="28D04376"/>
    <w:rsid w:val="29DF0939"/>
    <w:rsid w:val="2A2C7FF1"/>
    <w:rsid w:val="2ACE35F7"/>
    <w:rsid w:val="2B5B656A"/>
    <w:rsid w:val="2C5F0D8F"/>
    <w:rsid w:val="2D7B3137"/>
    <w:rsid w:val="2E93017E"/>
    <w:rsid w:val="2EAD646E"/>
    <w:rsid w:val="2ED00DAA"/>
    <w:rsid w:val="2F9E31D8"/>
    <w:rsid w:val="30016080"/>
    <w:rsid w:val="301414F4"/>
    <w:rsid w:val="3072267A"/>
    <w:rsid w:val="32674562"/>
    <w:rsid w:val="32F0684A"/>
    <w:rsid w:val="33CD5CEB"/>
    <w:rsid w:val="365A3B1A"/>
    <w:rsid w:val="366227D0"/>
    <w:rsid w:val="37952335"/>
    <w:rsid w:val="38AB00F5"/>
    <w:rsid w:val="38BB09B7"/>
    <w:rsid w:val="39D84678"/>
    <w:rsid w:val="3B426332"/>
    <w:rsid w:val="3BDE5F11"/>
    <w:rsid w:val="3C794E08"/>
    <w:rsid w:val="3CB02637"/>
    <w:rsid w:val="3CF4125E"/>
    <w:rsid w:val="3CFC4845"/>
    <w:rsid w:val="3D496598"/>
    <w:rsid w:val="3DEE77A3"/>
    <w:rsid w:val="3DF781BF"/>
    <w:rsid w:val="3E9259FE"/>
    <w:rsid w:val="3EAD4C74"/>
    <w:rsid w:val="40641249"/>
    <w:rsid w:val="40900DDE"/>
    <w:rsid w:val="409E7494"/>
    <w:rsid w:val="40DB57E4"/>
    <w:rsid w:val="43947AD2"/>
    <w:rsid w:val="45173DA8"/>
    <w:rsid w:val="4533011A"/>
    <w:rsid w:val="459D1510"/>
    <w:rsid w:val="45F75F15"/>
    <w:rsid w:val="473B028C"/>
    <w:rsid w:val="49D2E3F1"/>
    <w:rsid w:val="49DC0855"/>
    <w:rsid w:val="4A4B3E05"/>
    <w:rsid w:val="4A9F624B"/>
    <w:rsid w:val="4B3A7F60"/>
    <w:rsid w:val="4B711D41"/>
    <w:rsid w:val="4C747A5E"/>
    <w:rsid w:val="4DABB08E"/>
    <w:rsid w:val="4E33621E"/>
    <w:rsid w:val="4E7F6EAC"/>
    <w:rsid w:val="4F7B3E0D"/>
    <w:rsid w:val="50D36397"/>
    <w:rsid w:val="51646721"/>
    <w:rsid w:val="535B5879"/>
    <w:rsid w:val="537500B1"/>
    <w:rsid w:val="553E1DDE"/>
    <w:rsid w:val="57323D5B"/>
    <w:rsid w:val="5975DF32"/>
    <w:rsid w:val="5A2713C5"/>
    <w:rsid w:val="5B5402D8"/>
    <w:rsid w:val="5BE1146F"/>
    <w:rsid w:val="5BFC9E99"/>
    <w:rsid w:val="5C0558C7"/>
    <w:rsid w:val="5C7A51B6"/>
    <w:rsid w:val="5D224731"/>
    <w:rsid w:val="5DD71AD0"/>
    <w:rsid w:val="5EA619AA"/>
    <w:rsid w:val="5EBD2634"/>
    <w:rsid w:val="62452E7C"/>
    <w:rsid w:val="626F0CE7"/>
    <w:rsid w:val="65DD7790"/>
    <w:rsid w:val="66867B10"/>
    <w:rsid w:val="66D61390"/>
    <w:rsid w:val="68DA6FE3"/>
    <w:rsid w:val="697B6DB5"/>
    <w:rsid w:val="6A466370"/>
    <w:rsid w:val="6A73285A"/>
    <w:rsid w:val="6B1A0BC6"/>
    <w:rsid w:val="6BA319BD"/>
    <w:rsid w:val="6BABB983"/>
    <w:rsid w:val="6BEBC8DE"/>
    <w:rsid w:val="6C7B71F3"/>
    <w:rsid w:val="6D196D62"/>
    <w:rsid w:val="6D262970"/>
    <w:rsid w:val="6E0C4C99"/>
    <w:rsid w:val="6E746F94"/>
    <w:rsid w:val="6F851661"/>
    <w:rsid w:val="6FF89FD5"/>
    <w:rsid w:val="70B8483E"/>
    <w:rsid w:val="714313D9"/>
    <w:rsid w:val="714A0C4D"/>
    <w:rsid w:val="71AC4E84"/>
    <w:rsid w:val="76DF1725"/>
    <w:rsid w:val="77A244F9"/>
    <w:rsid w:val="79360180"/>
    <w:rsid w:val="7A7157E4"/>
    <w:rsid w:val="7B6B3846"/>
    <w:rsid w:val="7BDD5090"/>
    <w:rsid w:val="7C2E1453"/>
    <w:rsid w:val="7D6C302E"/>
    <w:rsid w:val="7DC25022"/>
    <w:rsid w:val="7E173C19"/>
    <w:rsid w:val="7EF2F3F9"/>
    <w:rsid w:val="7F75ACA3"/>
    <w:rsid w:val="7FDF549E"/>
    <w:rsid w:val="9E5D7E38"/>
    <w:rsid w:val="B9F7AC2C"/>
    <w:rsid w:val="C7FE5B01"/>
    <w:rsid w:val="DAFB0FF9"/>
    <w:rsid w:val="DDAFFC99"/>
    <w:rsid w:val="E3BC33EF"/>
    <w:rsid w:val="E5CF5025"/>
    <w:rsid w:val="ECFE06DC"/>
    <w:rsid w:val="EEB7132B"/>
    <w:rsid w:val="EF5B37B2"/>
    <w:rsid w:val="F7FAB92E"/>
    <w:rsid w:val="F995FA05"/>
    <w:rsid w:val="FB77149E"/>
    <w:rsid w:val="FCDB0E93"/>
    <w:rsid w:val="FD6BAF16"/>
    <w:rsid w:val="FEBE9199"/>
    <w:rsid w:val="FF777A4A"/>
    <w:rsid w:val="FFEF4D22"/>
    <w:rsid w:val="FFEF72DF"/>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1" w:semiHidden="0" w:name="heading 2" w:locked="1"/>
    <w:lsdException w:qFormat="1" w:unhideWhenUsed="0" w:uiPriority="99" w:semiHidden="0"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ocked="1"/>
    <w:lsdException w:unhideWhenUsed="0" w:uiPriority="0" w:semiHidden="0"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qFormat="1" w:unhideWhenUsed="0" w:uiPriority="0" w:semiHidden="0"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qFormat="1" w:unhideWhenUsed="0"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qFormat="1"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locked/>
    <w:uiPriority w:val="0"/>
    <w:pPr>
      <w:keepNext/>
      <w:keepLines/>
      <w:spacing w:beforeLines="50" w:line="300" w:lineRule="auto"/>
      <w:ind w:left="420" w:right="-147" w:rightChars="-70"/>
      <w:jc w:val="center"/>
      <w:outlineLvl w:val="0"/>
    </w:pPr>
    <w:rPr>
      <w:rFonts w:ascii="宋体" w:hAnsi="宋体"/>
      <w:b/>
      <w:sz w:val="32"/>
      <w:szCs w:val="32"/>
    </w:rPr>
  </w:style>
  <w:style w:type="paragraph" w:styleId="3">
    <w:name w:val="heading 2"/>
    <w:basedOn w:val="1"/>
    <w:next w:val="1"/>
    <w:qFormat/>
    <w:locked/>
    <w:uiPriority w:val="1"/>
    <w:pPr>
      <w:spacing w:before="161"/>
      <w:ind w:left="1268" w:hanging="728"/>
      <w:outlineLvl w:val="1"/>
    </w:pPr>
    <w:rPr>
      <w:rFonts w:ascii="宋体" w:hAnsi="宋体" w:cs="宋体"/>
      <w:b/>
      <w:bCs/>
      <w:sz w:val="24"/>
      <w:szCs w:val="24"/>
      <w:lang w:eastAsia="en-US" w:bidi="en-US"/>
    </w:rPr>
  </w:style>
  <w:style w:type="paragraph" w:styleId="4">
    <w:name w:val="heading 3"/>
    <w:basedOn w:val="1"/>
    <w:next w:val="1"/>
    <w:link w:val="32"/>
    <w:qFormat/>
    <w:locked/>
    <w:uiPriority w:val="99"/>
    <w:pPr>
      <w:keepNext/>
      <w:spacing w:line="360" w:lineRule="auto"/>
      <w:outlineLvl w:val="2"/>
    </w:pPr>
    <w:rPr>
      <w:b/>
      <w:sz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34"/>
    <w:qFormat/>
    <w:locked/>
    <w:uiPriority w:val="99"/>
    <w:pPr>
      <w:jc w:val="center"/>
    </w:pPr>
    <w:rPr>
      <w:b/>
      <w:sz w:val="32"/>
      <w:szCs w:val="32"/>
    </w:rPr>
  </w:style>
  <w:style w:type="paragraph" w:styleId="6">
    <w:name w:val="Body Text"/>
    <w:basedOn w:val="1"/>
    <w:link w:val="29"/>
    <w:qFormat/>
    <w:locked/>
    <w:uiPriority w:val="99"/>
    <w:pPr>
      <w:shd w:val="clear" w:color="auto" w:fill="FFFFFF"/>
      <w:spacing w:before="660" w:after="420" w:line="240" w:lineRule="atLeast"/>
      <w:ind w:hanging="580"/>
      <w:jc w:val="left"/>
    </w:pPr>
    <w:rPr>
      <w:kern w:val="0"/>
      <w:sz w:val="24"/>
      <w:shd w:val="clear" w:color="auto" w:fill="FFFFFF"/>
    </w:rPr>
  </w:style>
  <w:style w:type="paragraph" w:styleId="7">
    <w:name w:val="Body Text Indent"/>
    <w:basedOn w:val="1"/>
    <w:locked/>
    <w:uiPriority w:val="0"/>
    <w:pPr>
      <w:spacing w:line="360" w:lineRule="exact"/>
      <w:ind w:right="-153" w:rightChars="-73" w:firstLine="480" w:firstLineChars="200"/>
    </w:pPr>
    <w:rPr>
      <w:rFonts w:ascii="Times New Roman" w:hAnsi="Times New Roman"/>
      <w:sz w:val="24"/>
      <w:szCs w:val="24"/>
    </w:rPr>
  </w:style>
  <w:style w:type="paragraph" w:styleId="8">
    <w:name w:val="Balloon Text"/>
    <w:basedOn w:val="1"/>
    <w:link w:val="18"/>
    <w:qFormat/>
    <w:uiPriority w:val="99"/>
    <w:rPr>
      <w:sz w:val="18"/>
      <w:szCs w:val="18"/>
    </w:rPr>
  </w:style>
  <w:style w:type="paragraph" w:styleId="9">
    <w:name w:val="footer"/>
    <w:basedOn w:val="1"/>
    <w:link w:val="22"/>
    <w:qFormat/>
    <w:uiPriority w:val="99"/>
    <w:pPr>
      <w:tabs>
        <w:tab w:val="center" w:pos="4153"/>
        <w:tab w:val="right" w:pos="8306"/>
      </w:tabs>
      <w:snapToGrid w:val="0"/>
      <w:jc w:val="left"/>
    </w:pPr>
    <w:rPr>
      <w:sz w:val="18"/>
    </w:rPr>
  </w:style>
  <w:style w:type="paragraph" w:styleId="10">
    <w:name w:val="header"/>
    <w:basedOn w:val="1"/>
    <w:link w:val="20"/>
    <w:qFormat/>
    <w:uiPriority w:val="99"/>
    <w:pPr>
      <w:tabs>
        <w:tab w:val="center" w:pos="4153"/>
        <w:tab w:val="right" w:pos="8306"/>
      </w:tabs>
      <w:snapToGrid w:val="0"/>
      <w:jc w:val="center"/>
    </w:pPr>
    <w:rPr>
      <w:sz w:val="18"/>
      <w:szCs w:val="18"/>
    </w:rPr>
  </w:style>
  <w:style w:type="paragraph" w:styleId="11">
    <w:name w:val="Normal (Web)"/>
    <w:basedOn w:val="1"/>
    <w:semiHidden/>
    <w:unhideWhenUsed/>
    <w:qFormat/>
    <w:locked/>
    <w:uiPriority w:val="99"/>
    <w:pPr>
      <w:spacing w:beforeAutospacing="1" w:afterAutospacing="1"/>
      <w:jc w:val="left"/>
    </w:pPr>
    <w:rPr>
      <w:kern w:val="0"/>
      <w:sz w:val="24"/>
    </w:rPr>
  </w:style>
  <w:style w:type="paragraph" w:styleId="12">
    <w:name w:val="Body Text First Indent 2"/>
    <w:basedOn w:val="7"/>
    <w:qFormat/>
    <w:locked/>
    <w:uiPriority w:val="0"/>
    <w:pPr>
      <w:ind w:firstLine="420" w:firstLineChars="200"/>
    </w:pPr>
  </w:style>
  <w:style w:type="table" w:styleId="14">
    <w:name w:val="Table Grid"/>
    <w:basedOn w:val="13"/>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6">
    <w:name w:val="Hyperlink"/>
    <w:basedOn w:val="15"/>
    <w:qFormat/>
    <w:locked/>
    <w:uiPriority w:val="99"/>
    <w:rPr>
      <w:rFonts w:cs="Times New Roman"/>
      <w:color w:val="0000FF"/>
      <w:u w:val="single"/>
    </w:rPr>
  </w:style>
  <w:style w:type="character" w:customStyle="1" w:styleId="17">
    <w:name w:val="Heading 3 Char"/>
    <w:basedOn w:val="15"/>
    <w:semiHidden/>
    <w:qFormat/>
    <w:locked/>
    <w:uiPriority w:val="99"/>
    <w:rPr>
      <w:rFonts w:cs="Times New Roman"/>
      <w:b/>
      <w:bCs/>
      <w:sz w:val="32"/>
      <w:szCs w:val="32"/>
    </w:rPr>
  </w:style>
  <w:style w:type="character" w:customStyle="1" w:styleId="18">
    <w:name w:val="批注框文本 字符"/>
    <w:basedOn w:val="15"/>
    <w:link w:val="8"/>
    <w:qFormat/>
    <w:locked/>
    <w:uiPriority w:val="99"/>
    <w:rPr>
      <w:rFonts w:cs="Times New Roman"/>
      <w:kern w:val="2"/>
      <w:sz w:val="18"/>
      <w:szCs w:val="18"/>
    </w:rPr>
  </w:style>
  <w:style w:type="character" w:customStyle="1" w:styleId="19">
    <w:name w:val="Footer Char"/>
    <w:basedOn w:val="15"/>
    <w:semiHidden/>
    <w:qFormat/>
    <w:locked/>
    <w:uiPriority w:val="99"/>
    <w:rPr>
      <w:rFonts w:cs="Times New Roman"/>
      <w:sz w:val="18"/>
      <w:szCs w:val="18"/>
    </w:rPr>
  </w:style>
  <w:style w:type="character" w:customStyle="1" w:styleId="20">
    <w:name w:val="页眉 字符"/>
    <w:basedOn w:val="15"/>
    <w:link w:val="10"/>
    <w:semiHidden/>
    <w:qFormat/>
    <w:locked/>
    <w:uiPriority w:val="99"/>
    <w:rPr>
      <w:rFonts w:cs="Times New Roman"/>
      <w:sz w:val="18"/>
      <w:szCs w:val="18"/>
    </w:rPr>
  </w:style>
  <w:style w:type="paragraph" w:customStyle="1" w:styleId="21">
    <w:name w:val="列出段落1"/>
    <w:basedOn w:val="1"/>
    <w:qFormat/>
    <w:uiPriority w:val="99"/>
    <w:pPr>
      <w:ind w:firstLine="420" w:firstLineChars="200"/>
    </w:pPr>
  </w:style>
  <w:style w:type="character" w:customStyle="1" w:styleId="22">
    <w:name w:val="页脚 字符"/>
    <w:link w:val="9"/>
    <w:qFormat/>
    <w:locked/>
    <w:uiPriority w:val="99"/>
    <w:rPr>
      <w:rFonts w:eastAsia="宋体"/>
      <w:kern w:val="2"/>
      <w:sz w:val="18"/>
      <w:lang w:val="en-US" w:eastAsia="zh-CN"/>
    </w:rPr>
  </w:style>
  <w:style w:type="character" w:customStyle="1" w:styleId="23">
    <w:name w:val="目录_"/>
    <w:link w:val="24"/>
    <w:qFormat/>
    <w:locked/>
    <w:uiPriority w:val="99"/>
    <w:rPr>
      <w:rFonts w:ascii="宋体" w:eastAsia="宋体"/>
      <w:sz w:val="23"/>
      <w:shd w:val="clear" w:color="auto" w:fill="FFFFFF"/>
    </w:rPr>
  </w:style>
  <w:style w:type="paragraph" w:customStyle="1" w:styleId="24">
    <w:name w:val="目录1"/>
    <w:basedOn w:val="1"/>
    <w:link w:val="23"/>
    <w:qFormat/>
    <w:uiPriority w:val="99"/>
    <w:pPr>
      <w:shd w:val="clear" w:color="auto" w:fill="FFFFFF"/>
      <w:spacing w:before="540" w:after="180" w:line="240" w:lineRule="atLeast"/>
      <w:jc w:val="distribute"/>
    </w:pPr>
    <w:rPr>
      <w:rFonts w:ascii="宋体"/>
      <w:kern w:val="0"/>
      <w:sz w:val="23"/>
      <w:shd w:val="clear" w:color="auto" w:fill="FFFFFF"/>
    </w:rPr>
  </w:style>
  <w:style w:type="character" w:customStyle="1" w:styleId="25">
    <w:name w:val="Body Text Char1"/>
    <w:qFormat/>
    <w:locked/>
    <w:uiPriority w:val="99"/>
    <w:rPr>
      <w:rFonts w:ascii="宋体" w:eastAsia="宋体"/>
      <w:sz w:val="23"/>
      <w:shd w:val="clear" w:color="auto" w:fill="FFFFFF"/>
    </w:rPr>
  </w:style>
  <w:style w:type="character" w:customStyle="1" w:styleId="26">
    <w:name w:val="正文文本 + Batang"/>
    <w:qFormat/>
    <w:uiPriority w:val="99"/>
    <w:rPr>
      <w:rFonts w:ascii="Batang" w:hAnsi="宋体" w:eastAsia="Batang"/>
      <w:b/>
      <w:sz w:val="21"/>
      <w:shd w:val="clear" w:color="auto" w:fill="FFFFFF"/>
      <w:lang w:val="en-US" w:eastAsia="en-US"/>
    </w:rPr>
  </w:style>
  <w:style w:type="character" w:customStyle="1" w:styleId="27">
    <w:name w:val="Body Text Char"/>
    <w:qFormat/>
    <w:locked/>
    <w:uiPriority w:val="99"/>
    <w:rPr>
      <w:sz w:val="24"/>
      <w:shd w:val="clear" w:color="auto" w:fill="FFFFFF"/>
    </w:rPr>
  </w:style>
  <w:style w:type="character" w:customStyle="1" w:styleId="28">
    <w:name w:val="Body Text Char2"/>
    <w:basedOn w:val="15"/>
    <w:semiHidden/>
    <w:qFormat/>
    <w:locked/>
    <w:uiPriority w:val="99"/>
    <w:rPr>
      <w:rFonts w:cs="Times New Roman"/>
      <w:sz w:val="20"/>
      <w:szCs w:val="20"/>
    </w:rPr>
  </w:style>
  <w:style w:type="character" w:customStyle="1" w:styleId="29">
    <w:name w:val="正文文本 字符1"/>
    <w:basedOn w:val="15"/>
    <w:link w:val="6"/>
    <w:semiHidden/>
    <w:qFormat/>
    <w:locked/>
    <w:uiPriority w:val="99"/>
    <w:rPr>
      <w:rFonts w:cs="Times New Roman"/>
      <w:sz w:val="20"/>
      <w:szCs w:val="20"/>
    </w:rPr>
  </w:style>
  <w:style w:type="paragraph" w:customStyle="1" w:styleId="30">
    <w:name w:val="Normal_0"/>
    <w:qFormat/>
    <w:uiPriority w:val="99"/>
    <w:rPr>
      <w:rFonts w:ascii="Times New Roman" w:hAnsi="Times New Roman" w:eastAsia="等线" w:cs="Times New Roman"/>
      <w:sz w:val="24"/>
      <w:szCs w:val="24"/>
      <w:lang w:val="en-US" w:eastAsia="zh-CN" w:bidi="ar-SA"/>
    </w:rPr>
  </w:style>
  <w:style w:type="character" w:customStyle="1" w:styleId="31">
    <w:name w:val="正文文本 Char"/>
    <w:qFormat/>
    <w:uiPriority w:val="99"/>
    <w:rPr>
      <w:rFonts w:ascii="Times New Roman" w:hAnsi="Times New Roman"/>
      <w:kern w:val="2"/>
      <w:sz w:val="24"/>
    </w:rPr>
  </w:style>
  <w:style w:type="character" w:customStyle="1" w:styleId="32">
    <w:name w:val="标题 3 字符"/>
    <w:link w:val="4"/>
    <w:semiHidden/>
    <w:qFormat/>
    <w:locked/>
    <w:uiPriority w:val="99"/>
    <w:rPr>
      <w:rFonts w:eastAsia="宋体"/>
      <w:b/>
      <w:kern w:val="2"/>
      <w:sz w:val="32"/>
      <w:lang w:val="en-US" w:eastAsia="zh-CN"/>
    </w:rPr>
  </w:style>
  <w:style w:type="character" w:customStyle="1" w:styleId="33">
    <w:name w:val="正文文本 字符"/>
    <w:qFormat/>
    <w:locked/>
    <w:uiPriority w:val="99"/>
    <w:rPr>
      <w:rFonts w:ascii="宋体" w:eastAsia="宋体"/>
      <w:sz w:val="23"/>
      <w:shd w:val="clear" w:color="auto" w:fill="FFFFFF"/>
    </w:rPr>
  </w:style>
  <w:style w:type="character" w:customStyle="1" w:styleId="34">
    <w:name w:val="批注文字 字符"/>
    <w:basedOn w:val="15"/>
    <w:link w:val="5"/>
    <w:semiHidden/>
    <w:qFormat/>
    <w:locked/>
    <w:uiPriority w:val="99"/>
    <w:rPr>
      <w:rFonts w:cs="Times New Roman"/>
      <w:sz w:val="20"/>
      <w:szCs w:val="20"/>
    </w:rPr>
  </w:style>
  <w:style w:type="paragraph" w:customStyle="1" w:styleId="35">
    <w:name w:val="列表段落1"/>
    <w:basedOn w:val="1"/>
    <w:qFormat/>
    <w:uiPriority w:val="99"/>
    <w:pPr>
      <w:ind w:firstLine="420" w:firstLineChars="200"/>
    </w:pPr>
    <w:rPr>
      <w:sz w:val="24"/>
      <w:szCs w:val="24"/>
    </w:rPr>
  </w:style>
  <w:style w:type="paragraph" w:styleId="36">
    <w:name w:val="List Paragraph"/>
    <w:basedOn w:val="1"/>
    <w:qFormat/>
    <w:uiPriority w:val="99"/>
    <w:pPr>
      <w:ind w:firstLine="420" w:firstLineChars="200"/>
    </w:pPr>
  </w:style>
  <w:style w:type="paragraph" w:styleId="37">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38">
    <w:name w:val="_Style 26"/>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3165</Words>
  <Characters>4080</Characters>
  <Lines>30</Lines>
  <Paragraphs>8</Paragraphs>
  <TotalTime>0</TotalTime>
  <ScaleCrop>false</ScaleCrop>
  <LinksUpToDate>false</LinksUpToDate>
  <CharactersWithSpaces>4263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2023-03-25T07:48:00Z</dcterms:created>
  <dc:creator>微软用户</dc:creator>
  <cp:lastModifiedBy>Shea</cp:lastModifiedBy>
  <cp:lastPrinted>2024-10-17T03:06:00Z</cp:lastPrinted>
  <dcterms:modified xsi:type="dcterms:W3CDTF">2024-11-19T17:47:44Z</dcterms:modified>
  <dc:title>1 目的</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70F361F16BF64114AC862567D339E6D3_43</vt:lpwstr>
  </property>
</Properties>
</file>